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51F6F" w14:textId="77777777" w:rsidR="001C2993" w:rsidRDefault="001C2993" w:rsidP="00BF665A">
      <w:pPr>
        <w:pStyle w:val="Heading1"/>
        <w:jc w:val="center"/>
        <w:rPr>
          <w:sz w:val="28"/>
        </w:rPr>
      </w:pPr>
      <w:r w:rsidRPr="00BF665A">
        <w:rPr>
          <w:sz w:val="28"/>
        </w:rPr>
        <w:t xml:space="preserve">Pavee Point Supplementary Submission to the upcoming </w:t>
      </w:r>
      <w:r w:rsidR="00BF665A">
        <w:rPr>
          <w:sz w:val="28"/>
        </w:rPr>
        <w:br/>
      </w:r>
      <w:r w:rsidR="00BF665A" w:rsidRPr="00BF665A">
        <w:rPr>
          <w:sz w:val="28"/>
        </w:rPr>
        <w:t xml:space="preserve">HEA </w:t>
      </w:r>
      <w:r w:rsidRPr="00BF665A">
        <w:rPr>
          <w:sz w:val="28"/>
        </w:rPr>
        <w:t>Equity of Access Plan</w:t>
      </w:r>
    </w:p>
    <w:p w14:paraId="0583F1BE" w14:textId="77777777" w:rsidR="001C2993" w:rsidRPr="007B0860" w:rsidRDefault="001C2993" w:rsidP="007B0860">
      <w:r w:rsidRPr="007B0860">
        <w:t xml:space="preserve">This short paper builds, in the light of both current Traveller concerns and ongoing equality and rights discourse, on previous Pavee Point submissions and interventions in support of development and completion of the upcoming </w:t>
      </w:r>
      <w:r w:rsidR="002B176B" w:rsidRPr="007B0860">
        <w:t>Higher Education (</w:t>
      </w:r>
      <w:r w:rsidRPr="007B0860">
        <w:t>HE</w:t>
      </w:r>
      <w:r w:rsidR="002B176B" w:rsidRPr="007B0860">
        <w:t>)</w:t>
      </w:r>
      <w:r w:rsidRPr="007B0860">
        <w:t xml:space="preserve"> Equity of Access Plan. In light of the data below we now believe that a minimum of </w:t>
      </w:r>
      <w:r w:rsidR="007B0860" w:rsidRPr="007B0860">
        <w:t xml:space="preserve">150–200 p.a. </w:t>
      </w:r>
      <w:r w:rsidRPr="007B0860">
        <w:t xml:space="preserve">new Traveller entrants at the end of three years, </w:t>
      </w:r>
      <w:r w:rsidR="007B0860" w:rsidRPr="007B0860">
        <w:t>250–300 p.a. by</w:t>
      </w:r>
      <w:r w:rsidRPr="007B0860">
        <w:t xml:space="preserve"> the end of five years and </w:t>
      </w:r>
      <w:r w:rsidR="007B0860" w:rsidRPr="007B0860">
        <w:t>400–500 p.a. by</w:t>
      </w:r>
      <w:r w:rsidRPr="007B0860">
        <w:t xml:space="preserve"> the end of seven years is required. Participation and progress to postgraduate and higher studies also needs to be tracked as well as final employment and other outcomes</w:t>
      </w:r>
      <w:r w:rsidR="002B176B" w:rsidRPr="007B0860">
        <w:t>.</w:t>
      </w:r>
    </w:p>
    <w:p w14:paraId="31DDC8C9" w14:textId="77777777" w:rsidR="001C2993" w:rsidRPr="001C2993" w:rsidRDefault="001C2993" w:rsidP="00E967A0">
      <w:r w:rsidRPr="001C2993">
        <w:t xml:space="preserve">The setting of Traveller targets with an associated Plan and support initiatives in the </w:t>
      </w:r>
      <w:r w:rsidR="002B176B">
        <w:t>HE</w:t>
      </w:r>
      <w:r w:rsidRPr="001C2993">
        <w:t xml:space="preserve"> Equity of Access Plan dates created a significant focus throughout HE on Traveller access and participation. Up to the first COVID lockdown of 2020, when numbers again dropped, first year Traveller HE entrants increased year on year</w:t>
      </w:r>
      <w:r>
        <w:t xml:space="preserve"> </w:t>
      </w:r>
      <w:r w:rsidRPr="001C2993">
        <w:t>(2020 is the last year for which statistics are available). The targets, while important as indicated</w:t>
      </w:r>
      <w:r w:rsidR="00616EB6">
        <w:t>,</w:t>
      </w:r>
      <w:r w:rsidRPr="001C2993">
        <w:t xml:space="preserve"> were very modest and were viewed by some Travellers and Traveller organisations as further indication of the education system's perceptions and expectations of Travellers.</w:t>
      </w:r>
    </w:p>
    <w:p w14:paraId="246C9ACB" w14:textId="77777777" w:rsidR="001C2993" w:rsidRDefault="001C2993" w:rsidP="00E967A0">
      <w:r w:rsidRPr="001C2993">
        <w:t>To support and reinforce Traveller education ambition, progress Traveller education rights and extend the HE focus on Traveller participation in all programmes at all levels, targets in line with and/</w:t>
      </w:r>
      <w:r>
        <w:t xml:space="preserve"> </w:t>
      </w:r>
      <w:r w:rsidRPr="001C2993">
        <w:t>or relating to participating numbers or percentages from other cohorts need to be set. These then need to be supported by special measures and resources including employment initiatives, systemic implementation and inclusive</w:t>
      </w:r>
      <w:r>
        <w:t xml:space="preserve"> monitoring.</w:t>
      </w:r>
    </w:p>
    <w:p w14:paraId="757B1411" w14:textId="77777777" w:rsidR="002B176B" w:rsidRDefault="002B176B" w:rsidP="00E967A0">
      <w:r>
        <w:t xml:space="preserve">This submission focusses on Travellers but the arguments and aims also apply to Roma. </w:t>
      </w:r>
    </w:p>
    <w:p w14:paraId="0DBDC478" w14:textId="77777777" w:rsidR="00D720FD" w:rsidRDefault="00D720FD" w:rsidP="00616EB6">
      <w:pPr>
        <w:pStyle w:val="Heading1"/>
      </w:pPr>
      <w:r>
        <w:t xml:space="preserve">Statistical indicators of capacity to grow </w:t>
      </w:r>
      <w:r w:rsidR="001C2993">
        <w:t xml:space="preserve">Traveller </w:t>
      </w:r>
      <w:r w:rsidR="00C41E46">
        <w:t>entry into</w:t>
      </w:r>
      <w:r w:rsidR="001C2993">
        <w:t xml:space="preserve"> </w:t>
      </w:r>
      <w:r>
        <w:t xml:space="preserve">HE </w:t>
      </w:r>
    </w:p>
    <w:p w14:paraId="4426DF79" w14:textId="77777777" w:rsidR="00D720FD" w:rsidRDefault="00A31EE8" w:rsidP="00E967A0">
      <w:r>
        <w:t xml:space="preserve">A </w:t>
      </w:r>
      <w:r w:rsidR="00D720FD">
        <w:t>small but growing number</w:t>
      </w:r>
      <w:r w:rsidR="001C2993">
        <w:t xml:space="preserve"> of Travellers</w:t>
      </w:r>
      <w:r w:rsidR="00D720FD">
        <w:t xml:space="preserve"> are </w:t>
      </w:r>
      <w:r w:rsidR="00F11946">
        <w:t>entering HE</w:t>
      </w:r>
      <w:r w:rsidR="00D720FD">
        <w:t xml:space="preserve">. This must be strongly supported, because Travellers who make this transition </w:t>
      </w:r>
      <w:r>
        <w:t xml:space="preserve">represent a major cultural shift for the community overall, and these pioneers </w:t>
      </w:r>
      <w:r w:rsidR="00D720FD">
        <w:t>are pointers for younger Traveller students as to what they can achieve.</w:t>
      </w:r>
    </w:p>
    <w:p w14:paraId="2258016C" w14:textId="77777777" w:rsidR="00D720FD" w:rsidRDefault="00D720FD" w:rsidP="00E967A0">
      <w:r>
        <w:t xml:space="preserve">Because the numbers </w:t>
      </w:r>
      <w:r w:rsidR="00C41E46">
        <w:t>entering</w:t>
      </w:r>
      <w:r>
        <w:t xml:space="preserve"> </w:t>
      </w:r>
      <w:r w:rsidR="00F11946">
        <w:t>HE</w:t>
      </w:r>
      <w:r>
        <w:t xml:space="preserve"> are so small, across the years for which statistics have been collected in the HEA initiative to promote Traveller </w:t>
      </w:r>
      <w:r w:rsidR="00C41E46">
        <w:t>participation</w:t>
      </w:r>
      <w:r>
        <w:t>, any dip or variation stands out</w:t>
      </w:r>
      <w:r w:rsidR="00F11946">
        <w:t>.</w:t>
      </w:r>
      <w:r w:rsidR="00DA6AB3">
        <w:t xml:space="preserve"> </w:t>
      </w:r>
      <w:r>
        <w:t xml:space="preserve">COVID </w:t>
      </w:r>
      <w:r w:rsidR="00F11946">
        <w:t>has had</w:t>
      </w:r>
      <w:r>
        <w:t xml:space="preserve"> disproportionate</w:t>
      </w:r>
      <w:r w:rsidR="00F11946">
        <w:t xml:space="preserve"> negative</w:t>
      </w:r>
      <w:r>
        <w:t xml:space="preserve"> impact</w:t>
      </w:r>
      <w:r w:rsidR="00F11946">
        <w:t>.</w:t>
      </w:r>
    </w:p>
    <w:p w14:paraId="253B4542" w14:textId="77777777" w:rsidR="00D720FD" w:rsidRDefault="00D720FD" w:rsidP="00E967A0">
      <w:r>
        <w:t xml:space="preserve">For this profile, data </w:t>
      </w:r>
      <w:r w:rsidR="00B75895">
        <w:t xml:space="preserve">on Traveller education </w:t>
      </w:r>
      <w:r>
        <w:t xml:space="preserve">are brought together from three sources: the 2016 Census, the </w:t>
      </w:r>
      <w:r w:rsidR="00A927EA">
        <w:t>Department of Children and Youth Affairs (</w:t>
      </w:r>
      <w:r>
        <w:t>DCYA</w:t>
      </w:r>
      <w:r w:rsidR="00A927EA">
        <w:t>)</w:t>
      </w:r>
      <w:r>
        <w:t xml:space="preserve"> </w:t>
      </w:r>
      <w:r>
        <w:rPr>
          <w:i/>
        </w:rPr>
        <w:t xml:space="preserve">Young Travellers </w:t>
      </w:r>
      <w:r>
        <w:t xml:space="preserve">report (2020), and the Department of Education </w:t>
      </w:r>
      <w:r w:rsidR="00B75895">
        <w:t>(</w:t>
      </w:r>
      <w:r w:rsidR="00F11946">
        <w:t xml:space="preserve">its </w:t>
      </w:r>
      <w:r w:rsidR="00B75895">
        <w:t>2017</w:t>
      </w:r>
      <w:r w:rsidR="00F11946" w:rsidRPr="00F11946">
        <w:t xml:space="preserve"> </w:t>
      </w:r>
      <w:r w:rsidR="00F11946">
        <w:t xml:space="preserve">statistical report on Travellers in school </w:t>
      </w:r>
      <w:r w:rsidR="00B75895">
        <w:t xml:space="preserve">covers school years </w:t>
      </w:r>
      <w:r w:rsidR="00F11946">
        <w:t>2009/2010–</w:t>
      </w:r>
      <w:r>
        <w:t xml:space="preserve">2015/2016, but the DES did provide some data </w:t>
      </w:r>
      <w:r w:rsidR="00A927EA">
        <w:t>for</w:t>
      </w:r>
      <w:r>
        <w:t xml:space="preserve"> 201</w:t>
      </w:r>
      <w:r w:rsidR="00A927EA">
        <w:t>7-</w:t>
      </w:r>
      <w:r>
        <w:t>2019 to the DCYA</w:t>
      </w:r>
      <w:r w:rsidR="00B75895">
        <w:t>, 2020</w:t>
      </w:r>
      <w:r>
        <w:t xml:space="preserve">). </w:t>
      </w:r>
    </w:p>
    <w:p w14:paraId="6DDCB137" w14:textId="77777777" w:rsidR="001C2993" w:rsidRDefault="002B176B" w:rsidP="00E967A0">
      <w:r w:rsidRPr="002B176B">
        <w:rPr>
          <w:i/>
        </w:rPr>
        <w:t>Note:</w:t>
      </w:r>
      <w:r w:rsidR="001C2993">
        <w:t xml:space="preserve"> figures throughout </w:t>
      </w:r>
      <w:r w:rsidR="00414FD2">
        <w:t xml:space="preserve">are </w:t>
      </w:r>
      <w:r w:rsidR="001C2993">
        <w:t>for</w:t>
      </w:r>
      <w:r w:rsidR="00C41E46">
        <w:t xml:space="preserve"> Leaving Cert enrolments,</w:t>
      </w:r>
      <w:r w:rsidR="001C2993">
        <w:t xml:space="preserve"> and cannot be taken to infer completion.</w:t>
      </w:r>
      <w:r w:rsidR="0047029C">
        <w:t xml:space="preserve"> Data disaggregated by ethnicity, on retention and completion are not available. </w:t>
      </w:r>
    </w:p>
    <w:p w14:paraId="46878CAE" w14:textId="77777777" w:rsidR="001E0A4C" w:rsidRDefault="000212E9" w:rsidP="00E967A0">
      <w:pPr>
        <w:pStyle w:val="Heading3"/>
      </w:pPr>
      <w:r>
        <w:t xml:space="preserve">The </w:t>
      </w:r>
      <w:r w:rsidR="001E0A4C">
        <w:t>I</w:t>
      </w:r>
      <w:r>
        <w:t>rish</w:t>
      </w:r>
      <w:r w:rsidR="001E0A4C">
        <w:t xml:space="preserve"> Times Feeder school tables 2021</w:t>
      </w:r>
      <w:r>
        <w:t xml:space="preserve"> show that, of Leaving Certificate students</w:t>
      </w:r>
      <w:r w:rsidR="001E0A4C">
        <w:t>:</w:t>
      </w:r>
    </w:p>
    <w:p w14:paraId="592CD93C" w14:textId="77777777" w:rsidR="00E720C2" w:rsidRDefault="00FA01FF" w:rsidP="00E967A0">
      <w:pPr>
        <w:pStyle w:val="ListParagraph"/>
        <w:numPr>
          <w:ilvl w:val="0"/>
          <w:numId w:val="2"/>
        </w:numPr>
      </w:pPr>
      <w:r w:rsidRPr="006D0424">
        <w:t>99.7</w:t>
      </w:r>
      <w:r>
        <w:t xml:space="preserve">% </w:t>
      </w:r>
      <w:r w:rsidR="001E0A4C" w:rsidRPr="006D0424">
        <w:t xml:space="preserve">in fee-charging schools progressed to third-level </w:t>
      </w:r>
    </w:p>
    <w:p w14:paraId="2896AD76" w14:textId="77777777" w:rsidR="001E0A4C" w:rsidRPr="006D0424" w:rsidRDefault="00FA01FF" w:rsidP="00E967A0">
      <w:pPr>
        <w:pStyle w:val="ListParagraph"/>
        <w:numPr>
          <w:ilvl w:val="0"/>
          <w:numId w:val="2"/>
        </w:numPr>
      </w:pPr>
      <w:r w:rsidRPr="006D0424">
        <w:t>80</w:t>
      </w:r>
      <w:r>
        <w:t>% from n</w:t>
      </w:r>
      <w:r w:rsidR="001E0A4C" w:rsidRPr="006D0424">
        <w:t xml:space="preserve">on-fee-charging schools </w:t>
      </w:r>
      <w:r>
        <w:t>went</w:t>
      </w:r>
      <w:r w:rsidR="001E0A4C" w:rsidRPr="006D0424">
        <w:t xml:space="preserve"> to college </w:t>
      </w:r>
    </w:p>
    <w:p w14:paraId="37895977" w14:textId="77777777" w:rsidR="000212E9" w:rsidRPr="000212E9" w:rsidRDefault="001E0A4C" w:rsidP="00E967A0">
      <w:pPr>
        <w:pStyle w:val="ListParagraph"/>
        <w:numPr>
          <w:ilvl w:val="0"/>
          <w:numId w:val="2"/>
        </w:numPr>
      </w:pPr>
      <w:r w:rsidRPr="006D0424">
        <w:t>62</w:t>
      </w:r>
      <w:r>
        <w:t>%</w:t>
      </w:r>
      <w:r w:rsidRPr="006D0424">
        <w:t xml:space="preserve"> </w:t>
      </w:r>
      <w:r w:rsidR="00FA01FF">
        <w:t>i</w:t>
      </w:r>
      <w:r w:rsidR="00FA01FF" w:rsidRPr="006D0424">
        <w:t xml:space="preserve">n </w:t>
      </w:r>
      <w:r w:rsidR="00FA01FF">
        <w:t>DEIS</w:t>
      </w:r>
      <w:r w:rsidR="00FA01FF" w:rsidRPr="006D0424">
        <w:t xml:space="preserve"> schools </w:t>
      </w:r>
      <w:r w:rsidRPr="006D0424">
        <w:t xml:space="preserve">went on to </w:t>
      </w:r>
      <w:r w:rsidR="00FA01FF">
        <w:t>HE</w:t>
      </w:r>
    </w:p>
    <w:p w14:paraId="2B39FCA7" w14:textId="77777777" w:rsidR="000F7FA6" w:rsidRDefault="000212E9" w:rsidP="00E967A0">
      <w:r>
        <w:t>These figures by school type indicate how</w:t>
      </w:r>
      <w:r w:rsidR="000F7FA6">
        <w:t xml:space="preserve"> </w:t>
      </w:r>
      <w:r w:rsidR="006A727F">
        <w:t xml:space="preserve">the </w:t>
      </w:r>
      <w:r w:rsidR="000F7FA6">
        <w:t xml:space="preserve">overall </w:t>
      </w:r>
      <w:r>
        <w:t xml:space="preserve">HE </w:t>
      </w:r>
      <w:r w:rsidR="000F7FA6">
        <w:t>orientation of school</w:t>
      </w:r>
      <w:r w:rsidR="006A727F">
        <w:t>s</w:t>
      </w:r>
      <w:r>
        <w:t xml:space="preserve"> </w:t>
      </w:r>
      <w:r w:rsidR="000F7FA6">
        <w:t>an influential factor</w:t>
      </w:r>
      <w:r w:rsidR="006A727F">
        <w:t>,</w:t>
      </w:r>
      <w:r w:rsidR="000F7FA6">
        <w:t xml:space="preserve"> especially for students from communities with weak engagement with HE. </w:t>
      </w:r>
    </w:p>
    <w:p w14:paraId="6A9E6503" w14:textId="77777777" w:rsidR="000F7FA6" w:rsidRPr="002F4682" w:rsidRDefault="000F7FA6" w:rsidP="00637A95">
      <w:pPr>
        <w:pStyle w:val="Heading2"/>
      </w:pPr>
      <w:r>
        <w:t xml:space="preserve">Traveller </w:t>
      </w:r>
      <w:r w:rsidRPr="002F4682">
        <w:t xml:space="preserve">enrolments </w:t>
      </w:r>
      <w:r>
        <w:t xml:space="preserve">in DEIS and non-DEIS post-primary schools </w:t>
      </w:r>
      <w:r w:rsidRPr="002F4682">
        <w:t>in 2015/2016</w:t>
      </w:r>
    </w:p>
    <w:tbl>
      <w:tblPr>
        <w:tblStyle w:val="TableGrid"/>
        <w:tblW w:w="5000" w:type="pct"/>
        <w:tblLook w:val="04A0" w:firstRow="1" w:lastRow="0" w:firstColumn="1" w:lastColumn="0" w:noHBand="0" w:noVBand="1"/>
      </w:tblPr>
      <w:tblGrid>
        <w:gridCol w:w="5655"/>
        <w:gridCol w:w="1359"/>
        <w:gridCol w:w="1361"/>
        <w:gridCol w:w="1361"/>
      </w:tblGrid>
      <w:tr w:rsidR="006A727F" w:rsidRPr="00616EB6" w14:paraId="641FBEC9" w14:textId="77777777" w:rsidTr="006A727F">
        <w:trPr>
          <w:trHeight w:val="70"/>
        </w:trPr>
        <w:tc>
          <w:tcPr>
            <w:tcW w:w="2904" w:type="pct"/>
            <w:noWrap/>
            <w:hideMark/>
          </w:tcPr>
          <w:p w14:paraId="599615D4" w14:textId="77777777" w:rsidR="000F7FA6" w:rsidRPr="00616EB6" w:rsidRDefault="00616EB6" w:rsidP="00616EB6">
            <w:pPr>
              <w:pStyle w:val="table"/>
              <w:rPr>
                <w:b/>
              </w:rPr>
            </w:pPr>
            <w:r>
              <w:rPr>
                <w:b/>
              </w:rPr>
              <w:t>Total</w:t>
            </w:r>
            <w:r w:rsidRPr="00616EB6">
              <w:rPr>
                <w:b/>
              </w:rPr>
              <w:t xml:space="preserve"> post-primary programmes</w:t>
            </w:r>
          </w:p>
        </w:tc>
        <w:tc>
          <w:tcPr>
            <w:tcW w:w="698" w:type="pct"/>
            <w:noWrap/>
            <w:hideMark/>
          </w:tcPr>
          <w:p w14:paraId="6DD05BE0" w14:textId="77777777" w:rsidR="000F7FA6" w:rsidRPr="00616EB6" w:rsidRDefault="000F7FA6" w:rsidP="00616EB6">
            <w:pPr>
              <w:pStyle w:val="table"/>
              <w:rPr>
                <w:b/>
              </w:rPr>
            </w:pPr>
            <w:r w:rsidRPr="00616EB6">
              <w:rPr>
                <w:b/>
              </w:rPr>
              <w:t>DEIS</w:t>
            </w:r>
          </w:p>
        </w:tc>
        <w:tc>
          <w:tcPr>
            <w:tcW w:w="699" w:type="pct"/>
            <w:noWrap/>
            <w:hideMark/>
          </w:tcPr>
          <w:p w14:paraId="6D6195DC" w14:textId="77777777" w:rsidR="000F7FA6" w:rsidRPr="00616EB6" w:rsidRDefault="000F7FA6" w:rsidP="00616EB6">
            <w:pPr>
              <w:pStyle w:val="table"/>
              <w:rPr>
                <w:b/>
              </w:rPr>
            </w:pPr>
            <w:r w:rsidRPr="00616EB6">
              <w:rPr>
                <w:b/>
              </w:rPr>
              <w:t>non-DEIS</w:t>
            </w:r>
          </w:p>
        </w:tc>
        <w:tc>
          <w:tcPr>
            <w:tcW w:w="699" w:type="pct"/>
            <w:noWrap/>
            <w:hideMark/>
          </w:tcPr>
          <w:p w14:paraId="53BF11EE" w14:textId="77777777" w:rsidR="000F7FA6" w:rsidRPr="00616EB6" w:rsidRDefault="000F7FA6" w:rsidP="00616EB6">
            <w:pPr>
              <w:pStyle w:val="table"/>
              <w:rPr>
                <w:b/>
              </w:rPr>
            </w:pPr>
            <w:r w:rsidRPr="00616EB6">
              <w:rPr>
                <w:b/>
              </w:rPr>
              <w:t>Total</w:t>
            </w:r>
          </w:p>
        </w:tc>
      </w:tr>
      <w:tr w:rsidR="006A727F" w:rsidRPr="00FE1D29" w14:paraId="4C24B073" w14:textId="77777777" w:rsidTr="006A727F">
        <w:trPr>
          <w:trHeight w:val="70"/>
        </w:trPr>
        <w:tc>
          <w:tcPr>
            <w:tcW w:w="2904" w:type="pct"/>
            <w:noWrap/>
            <w:hideMark/>
          </w:tcPr>
          <w:p w14:paraId="30E7115E" w14:textId="77777777" w:rsidR="000F7FA6" w:rsidRPr="00FE1D29" w:rsidRDefault="000F7FA6" w:rsidP="00616EB6">
            <w:pPr>
              <w:pStyle w:val="table"/>
            </w:pPr>
            <w:r w:rsidRPr="00FE1D29">
              <w:t>N</w:t>
            </w:r>
            <w:r>
              <w:t>umber</w:t>
            </w:r>
            <w:r w:rsidRPr="00FE1D29">
              <w:t xml:space="preserve"> of Travellers enrolled</w:t>
            </w:r>
            <w:r w:rsidR="006A727F">
              <w:t xml:space="preserve"> in DEIS/non-DEIS schools</w:t>
            </w:r>
          </w:p>
        </w:tc>
        <w:tc>
          <w:tcPr>
            <w:tcW w:w="698" w:type="pct"/>
            <w:noWrap/>
            <w:hideMark/>
          </w:tcPr>
          <w:p w14:paraId="2B920FA7" w14:textId="77777777" w:rsidR="000F7FA6" w:rsidRPr="00FE1D29" w:rsidRDefault="000F7FA6" w:rsidP="00616EB6">
            <w:pPr>
              <w:pStyle w:val="table"/>
            </w:pPr>
            <w:r w:rsidRPr="00FE1D29">
              <w:t>1</w:t>
            </w:r>
            <w:r w:rsidR="006A727F">
              <w:t>,</w:t>
            </w:r>
            <w:r w:rsidRPr="00FE1D29">
              <w:t>220</w:t>
            </w:r>
          </w:p>
        </w:tc>
        <w:tc>
          <w:tcPr>
            <w:tcW w:w="699" w:type="pct"/>
            <w:noWrap/>
            <w:hideMark/>
          </w:tcPr>
          <w:p w14:paraId="1D6F3E9B" w14:textId="77777777" w:rsidR="000F7FA6" w:rsidRPr="00FE1D29" w:rsidRDefault="000F7FA6" w:rsidP="00616EB6">
            <w:pPr>
              <w:pStyle w:val="table"/>
            </w:pPr>
            <w:r w:rsidRPr="00FE1D29">
              <w:t>1</w:t>
            </w:r>
            <w:r w:rsidR="006A727F">
              <w:t>,</w:t>
            </w:r>
            <w:r w:rsidRPr="00FE1D29">
              <w:t>469</w:t>
            </w:r>
          </w:p>
        </w:tc>
        <w:tc>
          <w:tcPr>
            <w:tcW w:w="699" w:type="pct"/>
            <w:noWrap/>
            <w:hideMark/>
          </w:tcPr>
          <w:p w14:paraId="4FC177FB" w14:textId="77777777" w:rsidR="000F7FA6" w:rsidRPr="00FE1D29" w:rsidRDefault="000F7FA6" w:rsidP="00616EB6">
            <w:pPr>
              <w:pStyle w:val="table"/>
            </w:pPr>
            <w:r w:rsidRPr="00FE1D29">
              <w:t>2</w:t>
            </w:r>
            <w:r w:rsidR="006A727F">
              <w:t>,</w:t>
            </w:r>
            <w:r w:rsidRPr="00FE1D29">
              <w:t>689</w:t>
            </w:r>
          </w:p>
        </w:tc>
      </w:tr>
      <w:tr w:rsidR="006A727F" w:rsidRPr="00FE1D29" w14:paraId="63C1AF86" w14:textId="77777777" w:rsidTr="006A727F">
        <w:trPr>
          <w:trHeight w:val="70"/>
        </w:trPr>
        <w:tc>
          <w:tcPr>
            <w:tcW w:w="2904" w:type="pct"/>
            <w:noWrap/>
            <w:hideMark/>
          </w:tcPr>
          <w:p w14:paraId="36920491" w14:textId="77777777" w:rsidR="000F7FA6" w:rsidRPr="00FE1D29" w:rsidRDefault="000F7FA6" w:rsidP="00616EB6">
            <w:pPr>
              <w:pStyle w:val="table"/>
            </w:pPr>
            <w:r w:rsidRPr="00FE1D29">
              <w:t>% of enrolled Travellers</w:t>
            </w:r>
            <w:r w:rsidR="00B574F7">
              <w:t xml:space="preserve"> in DEIS/non-DEIS schools</w:t>
            </w:r>
          </w:p>
        </w:tc>
        <w:tc>
          <w:tcPr>
            <w:tcW w:w="698" w:type="pct"/>
            <w:noWrap/>
            <w:hideMark/>
          </w:tcPr>
          <w:p w14:paraId="1AC611E2" w14:textId="77777777" w:rsidR="000F7FA6" w:rsidRPr="00FE1D29" w:rsidRDefault="000F7FA6" w:rsidP="00616EB6">
            <w:pPr>
              <w:pStyle w:val="table"/>
            </w:pPr>
            <w:r>
              <w:t>45.0%</w:t>
            </w:r>
          </w:p>
        </w:tc>
        <w:tc>
          <w:tcPr>
            <w:tcW w:w="699" w:type="pct"/>
            <w:noWrap/>
            <w:hideMark/>
          </w:tcPr>
          <w:p w14:paraId="3BA8D176" w14:textId="77777777" w:rsidR="000F7FA6" w:rsidRPr="00FE1D29" w:rsidRDefault="000F7FA6" w:rsidP="00616EB6">
            <w:pPr>
              <w:pStyle w:val="table"/>
            </w:pPr>
            <w:r>
              <w:t>55.0%</w:t>
            </w:r>
          </w:p>
        </w:tc>
        <w:tc>
          <w:tcPr>
            <w:tcW w:w="699" w:type="pct"/>
            <w:noWrap/>
            <w:hideMark/>
          </w:tcPr>
          <w:p w14:paraId="567864D9" w14:textId="77777777" w:rsidR="000F7FA6" w:rsidRPr="00FE1D29" w:rsidRDefault="000F7FA6" w:rsidP="00616EB6">
            <w:pPr>
              <w:pStyle w:val="table"/>
            </w:pPr>
            <w:r>
              <w:t>100%</w:t>
            </w:r>
          </w:p>
        </w:tc>
      </w:tr>
      <w:tr w:rsidR="006A727F" w:rsidRPr="00FE1D29" w14:paraId="3305B42B" w14:textId="77777777" w:rsidTr="006A727F">
        <w:trPr>
          <w:trHeight w:val="300"/>
        </w:trPr>
        <w:tc>
          <w:tcPr>
            <w:tcW w:w="2904" w:type="pct"/>
            <w:noWrap/>
            <w:hideMark/>
          </w:tcPr>
          <w:p w14:paraId="18778797" w14:textId="77777777" w:rsidR="000F7FA6" w:rsidRPr="00FE1D29" w:rsidRDefault="000F7FA6" w:rsidP="00616EB6">
            <w:pPr>
              <w:pStyle w:val="table"/>
            </w:pPr>
            <w:r w:rsidRPr="00FE1D29">
              <w:t>Travellers as % of total enrolment</w:t>
            </w:r>
            <w:r w:rsidR="006A727F">
              <w:t xml:space="preserve"> in DEIS/non-DEIS schools</w:t>
            </w:r>
          </w:p>
        </w:tc>
        <w:tc>
          <w:tcPr>
            <w:tcW w:w="698" w:type="pct"/>
            <w:noWrap/>
            <w:hideMark/>
          </w:tcPr>
          <w:p w14:paraId="3C997283" w14:textId="77777777" w:rsidR="000F7FA6" w:rsidRPr="00FE1D29" w:rsidRDefault="000F7FA6" w:rsidP="00616EB6">
            <w:pPr>
              <w:pStyle w:val="table"/>
            </w:pPr>
            <w:r>
              <w:t>1.8%</w:t>
            </w:r>
          </w:p>
        </w:tc>
        <w:tc>
          <w:tcPr>
            <w:tcW w:w="699" w:type="pct"/>
            <w:noWrap/>
            <w:hideMark/>
          </w:tcPr>
          <w:p w14:paraId="65CAF071" w14:textId="77777777" w:rsidR="000F7FA6" w:rsidRPr="00FE1D29" w:rsidRDefault="000F7FA6" w:rsidP="00616EB6">
            <w:pPr>
              <w:pStyle w:val="table"/>
            </w:pPr>
            <w:r>
              <w:t>0.5%</w:t>
            </w:r>
          </w:p>
        </w:tc>
        <w:tc>
          <w:tcPr>
            <w:tcW w:w="699" w:type="pct"/>
            <w:noWrap/>
            <w:hideMark/>
          </w:tcPr>
          <w:p w14:paraId="35770B9F" w14:textId="77777777" w:rsidR="000F7FA6" w:rsidRPr="00FE1D29" w:rsidRDefault="000F7FA6" w:rsidP="00616EB6">
            <w:pPr>
              <w:pStyle w:val="table"/>
            </w:pPr>
            <w:r>
              <w:t>1.2%</w:t>
            </w:r>
          </w:p>
        </w:tc>
      </w:tr>
    </w:tbl>
    <w:p w14:paraId="7CDDB48D" w14:textId="77777777" w:rsidR="000F7FA6" w:rsidRPr="004B2195" w:rsidRDefault="00B574F7" w:rsidP="000F7FA6">
      <w:pPr>
        <w:pStyle w:val="source"/>
      </w:pPr>
      <w:r>
        <w:t>D</w:t>
      </w:r>
      <w:r w:rsidR="000F7FA6" w:rsidRPr="004B2195">
        <w:t xml:space="preserve">ES 2017, p.4 and Table 12. </w:t>
      </w:r>
    </w:p>
    <w:p w14:paraId="60648ABE" w14:textId="77777777" w:rsidR="00E04D6F" w:rsidRDefault="00232015" w:rsidP="00E967A0">
      <w:r>
        <w:t xml:space="preserve">The </w:t>
      </w:r>
      <w:r w:rsidR="000212E9">
        <w:t>main</w:t>
      </w:r>
      <w:r>
        <w:t xml:space="preserve"> published age-band and Senior Cycle </w:t>
      </w:r>
      <w:r w:rsidR="000212E9">
        <w:t xml:space="preserve">Traveller </w:t>
      </w:r>
      <w:r>
        <w:t xml:space="preserve">enrolment </w:t>
      </w:r>
      <w:r w:rsidR="00C41E46">
        <w:t>data</w:t>
      </w:r>
      <w:r>
        <w:t xml:space="preserve"> are from 2015-2016</w:t>
      </w:r>
      <w:r w:rsidR="000866E4">
        <w:t xml:space="preserve"> (DES 2017)</w:t>
      </w:r>
      <w:r w:rsidR="000212E9">
        <w:t>; the DCYA (2020) also cites DES data for 2018/2019</w:t>
      </w:r>
      <w:r w:rsidR="001A2626">
        <w:t xml:space="preserve">. </w:t>
      </w:r>
      <w:r w:rsidR="003E059E">
        <w:t xml:space="preserve">Regarding improvement </w:t>
      </w:r>
      <w:r w:rsidR="0047029C">
        <w:t>in Travellers’ HE-</w:t>
      </w:r>
      <w:r w:rsidR="003E059E">
        <w:t>transition</w:t>
      </w:r>
      <w:r w:rsidR="0047029C">
        <w:t xml:space="preserve"> rates</w:t>
      </w:r>
      <w:r w:rsidR="003E059E">
        <w:t xml:space="preserve">, </w:t>
      </w:r>
      <w:r w:rsidR="003E059E">
        <w:lastRenderedPageBreak/>
        <w:t>the main available relevant data are enrolments in t</w:t>
      </w:r>
      <w:r w:rsidR="00E04D6F">
        <w:t>he established Leaving Certificate programme</w:t>
      </w:r>
      <w:r w:rsidR="003E059E">
        <w:t>, and more particularly, in the second (exam) year of that two-year programme</w:t>
      </w:r>
      <w:r w:rsidR="00E04D6F">
        <w:t xml:space="preserve">. </w:t>
      </w:r>
      <w:r w:rsidR="003E059E">
        <w:t>P</w:t>
      </w:r>
      <w:r w:rsidR="00E04D6F">
        <w:t>ublished</w:t>
      </w:r>
      <w:r w:rsidR="003E059E">
        <w:t xml:space="preserve"> enrolment</w:t>
      </w:r>
      <w:r w:rsidR="00E04D6F">
        <w:t xml:space="preserve"> data are </w:t>
      </w:r>
      <w:r w:rsidR="003E059E">
        <w:t xml:space="preserve">only available for the 2-year </w:t>
      </w:r>
      <w:r w:rsidR="0047029C">
        <w:t>programme</w:t>
      </w:r>
      <w:r w:rsidR="003E059E">
        <w:t xml:space="preserve"> as a unit, so to establish something close to the population of Travellers that might transfer from post-primary school to HE, those</w:t>
      </w:r>
      <w:r w:rsidR="00E04D6F">
        <w:t xml:space="preserve"> two-year enrolment numbers </w:t>
      </w:r>
      <w:r w:rsidR="003E059E">
        <w:t xml:space="preserve">are halved </w:t>
      </w:r>
      <w:r w:rsidR="00E04D6F">
        <w:t>in the profiling that follows</w:t>
      </w:r>
      <w:r w:rsidR="003E059E">
        <w:t xml:space="preserve"> here</w:t>
      </w:r>
      <w:r w:rsidR="00E04D6F">
        <w:t xml:space="preserve">. </w:t>
      </w:r>
      <w:r w:rsidR="00E13624">
        <w:t>This may favour the numbers in the exam year, but that makes up to some degree for the uncounted alternative-entry numbers</w:t>
      </w:r>
      <w:r w:rsidR="003E059E">
        <w:t xml:space="preserve"> of Travellers</w:t>
      </w:r>
      <w:r w:rsidR="00E13624">
        <w:t xml:space="preserve"> from FET and other mature student pathways.</w:t>
      </w:r>
    </w:p>
    <w:p w14:paraId="0C2B8F3E" w14:textId="77777777" w:rsidR="00232015" w:rsidRDefault="001A2626" w:rsidP="00E967A0">
      <w:r>
        <w:t xml:space="preserve">The changes in enrolment profiles </w:t>
      </w:r>
      <w:r w:rsidR="00E13624">
        <w:t xml:space="preserve">in Leaving Cert exam years </w:t>
      </w:r>
      <w:r w:rsidR="00E04D6F">
        <w:t>since 2009</w:t>
      </w:r>
      <w:r>
        <w:t xml:space="preserve"> </w:t>
      </w:r>
      <w:r w:rsidR="003E059E">
        <w:t>are</w:t>
      </w:r>
      <w:r>
        <w:t xml:space="preserve"> as follows:</w:t>
      </w:r>
    </w:p>
    <w:p w14:paraId="7E22E66E" w14:textId="77777777" w:rsidR="00232015" w:rsidRPr="00670221" w:rsidRDefault="00232015" w:rsidP="00637A95">
      <w:pPr>
        <w:pStyle w:val="Heading2"/>
      </w:pPr>
      <w:r w:rsidRPr="00670221">
        <w:t xml:space="preserve">Traveller Enrolments by </w:t>
      </w:r>
      <w:r w:rsidR="00F900E3" w:rsidRPr="00670221">
        <w:t xml:space="preserve">Leaving Certificate </w:t>
      </w:r>
      <w:r w:rsidRPr="00670221">
        <w:t xml:space="preserve">programme </w:t>
      </w:r>
      <w:r w:rsidR="00732F75">
        <w:t xml:space="preserve">and </w:t>
      </w:r>
      <w:r w:rsidR="001C2993">
        <w:t xml:space="preserve">relevant </w:t>
      </w:r>
      <w:r w:rsidRPr="00670221">
        <w:t>age band</w:t>
      </w:r>
      <w:r w:rsidR="001C2993">
        <w:t xml:space="preserve">, </w:t>
      </w:r>
      <w:r w:rsidRPr="00670221">
        <w:t>2009</w:t>
      </w:r>
      <w:r w:rsidR="00F900E3">
        <w:t>–</w:t>
      </w:r>
      <w:r w:rsidR="00732F75">
        <w:t>2018</w:t>
      </w:r>
    </w:p>
    <w:p w14:paraId="1BEF10E9" w14:textId="77777777" w:rsidR="00232015" w:rsidRDefault="00377036" w:rsidP="00616EB6">
      <w:pPr>
        <w:jc w:val="center"/>
      </w:pPr>
      <w:r>
        <w:rPr>
          <w:noProof/>
        </w:rPr>
        <w:drawing>
          <wp:inline distT="0" distB="0" distL="0" distR="0" wp14:anchorId="0A894E77" wp14:editId="5093E2C0">
            <wp:extent cx="5609451" cy="2800350"/>
            <wp:effectExtent l="19050" t="19050" r="1079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2276" r="1637" b="2188"/>
                    <a:stretch/>
                  </pic:blipFill>
                  <pic:spPr bwMode="auto">
                    <a:xfrm>
                      <a:off x="0" y="0"/>
                      <a:ext cx="5619673" cy="2805453"/>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3D68735E" w14:textId="77777777" w:rsidR="004B2195" w:rsidRPr="004B2195" w:rsidRDefault="0053736A" w:rsidP="004B2195">
      <w:pPr>
        <w:pStyle w:val="source"/>
      </w:pPr>
      <w:r>
        <w:t>2009</w:t>
      </w:r>
      <w:r w:rsidR="00CF33CE">
        <w:t>–2015</w:t>
      </w:r>
      <w:r w:rsidR="00075D94">
        <w:t xml:space="preserve"> data: </w:t>
      </w:r>
      <w:r w:rsidR="004B2195">
        <w:t xml:space="preserve">DES 2017, Tables 10 </w:t>
      </w:r>
      <w:r w:rsidR="006A727F">
        <w:t>&amp;</w:t>
      </w:r>
      <w:r w:rsidR="004B2195">
        <w:t xml:space="preserve"> 11</w:t>
      </w:r>
      <w:r w:rsidR="00732F75">
        <w:t xml:space="preserve">; </w:t>
      </w:r>
      <w:r w:rsidR="00CF33CE">
        <w:t>2016–2018</w:t>
      </w:r>
      <w:r w:rsidR="00075D94">
        <w:t xml:space="preserve"> data: </w:t>
      </w:r>
      <w:r w:rsidR="00732F75">
        <w:t xml:space="preserve">DCYA </w:t>
      </w:r>
      <w:r w:rsidR="00075D94">
        <w:t>(</w:t>
      </w:r>
      <w:r w:rsidR="00732F75">
        <w:t>citing DES</w:t>
      </w:r>
      <w:r w:rsidR="00075D94">
        <w:t>)</w:t>
      </w:r>
      <w:r w:rsidR="00732F75">
        <w:t xml:space="preserve"> 2020, Table 29.</w:t>
      </w:r>
    </w:p>
    <w:p w14:paraId="6B1EA3E1" w14:textId="77777777" w:rsidR="000866E4" w:rsidRPr="00E967A0" w:rsidRDefault="000212E9" w:rsidP="00E967A0">
      <w:r w:rsidRPr="00E967A0">
        <w:t xml:space="preserve">In the seven years from </w:t>
      </w:r>
      <w:r w:rsidR="00232015" w:rsidRPr="00E967A0">
        <w:t>20</w:t>
      </w:r>
      <w:r w:rsidRPr="00E967A0">
        <w:t>09/</w:t>
      </w:r>
      <w:r w:rsidR="00232015" w:rsidRPr="00E967A0">
        <w:t>1</w:t>
      </w:r>
      <w:r w:rsidRPr="00E967A0">
        <w:t xml:space="preserve">0 </w:t>
      </w:r>
      <w:r w:rsidR="00732F75" w:rsidRPr="00E967A0">
        <w:t>to</w:t>
      </w:r>
      <w:r w:rsidRPr="00E967A0">
        <w:t xml:space="preserve"> 20</w:t>
      </w:r>
      <w:r w:rsidR="00232015" w:rsidRPr="00E967A0">
        <w:t>1</w:t>
      </w:r>
      <w:r w:rsidRPr="00E967A0">
        <w:t>5/16</w:t>
      </w:r>
      <w:r w:rsidR="00232015" w:rsidRPr="00E967A0">
        <w:t>, numbers of Travellers enroll</w:t>
      </w:r>
      <w:r w:rsidRPr="00E967A0">
        <w:t>ed</w:t>
      </w:r>
      <w:r w:rsidR="00232015" w:rsidRPr="00E967A0">
        <w:t xml:space="preserve"> </w:t>
      </w:r>
      <w:r w:rsidR="000314D2">
        <w:t>across the three Leaving Cert programmes</w:t>
      </w:r>
      <w:r w:rsidR="00232015" w:rsidRPr="00E967A0">
        <w:t xml:space="preserve"> </w:t>
      </w:r>
      <w:r w:rsidRPr="00E967A0">
        <w:t xml:space="preserve">almost doubled, growing </w:t>
      </w:r>
      <w:r w:rsidR="005F081F" w:rsidRPr="00E967A0">
        <w:t xml:space="preserve">from 405 </w:t>
      </w:r>
      <w:r w:rsidR="008E7266" w:rsidRPr="00E967A0">
        <w:t xml:space="preserve">to 780 </w:t>
      </w:r>
      <w:r w:rsidR="005F081F" w:rsidRPr="00E967A0">
        <w:t>students</w:t>
      </w:r>
      <w:r w:rsidR="00732F75" w:rsidRPr="00E967A0">
        <w:t>. W</w:t>
      </w:r>
      <w:r w:rsidR="001A2626" w:rsidRPr="00E967A0">
        <w:t>ithin that Cycle,</w:t>
      </w:r>
      <w:r w:rsidR="008E7266" w:rsidRPr="00E967A0">
        <w:t xml:space="preserve"> </w:t>
      </w:r>
      <w:r w:rsidR="005F081F" w:rsidRPr="00E967A0">
        <w:t xml:space="preserve">numbers enrolled in the </w:t>
      </w:r>
      <w:r w:rsidR="00377036" w:rsidRPr="00E967A0">
        <w:t xml:space="preserve">final year of the </w:t>
      </w:r>
      <w:r w:rsidR="00732F75" w:rsidRPr="00E967A0">
        <w:t>e</w:t>
      </w:r>
      <w:r w:rsidR="005F081F" w:rsidRPr="00E967A0">
        <w:t xml:space="preserve">stablished Leaving Certificate programme </w:t>
      </w:r>
      <w:r w:rsidR="003F0FBB" w:rsidRPr="00E967A0">
        <w:t>grew</w:t>
      </w:r>
      <w:r w:rsidR="008E7266" w:rsidRPr="00E967A0">
        <w:t xml:space="preserve"> </w:t>
      </w:r>
      <w:r w:rsidR="005F081F" w:rsidRPr="00E967A0">
        <w:t xml:space="preserve">from </w:t>
      </w:r>
      <w:r w:rsidR="00377036" w:rsidRPr="00E967A0">
        <w:t>70</w:t>
      </w:r>
      <w:r w:rsidR="005F081F" w:rsidRPr="00E967A0">
        <w:t xml:space="preserve"> to </w:t>
      </w:r>
      <w:r w:rsidR="00377036" w:rsidRPr="00E967A0">
        <w:t>151</w:t>
      </w:r>
      <w:r w:rsidR="008E7266" w:rsidRPr="00E967A0">
        <w:t xml:space="preserve"> Traveller students</w:t>
      </w:r>
      <w:r w:rsidR="005F081F" w:rsidRPr="00E967A0">
        <w:t>.</w:t>
      </w:r>
      <w:r w:rsidR="00232015" w:rsidRPr="00E967A0">
        <w:t xml:space="preserve"> </w:t>
      </w:r>
    </w:p>
    <w:p w14:paraId="1181DA90" w14:textId="77777777" w:rsidR="00DA6AB3" w:rsidRDefault="00232015" w:rsidP="00E967A0">
      <w:r>
        <w:t>This growth stalled and fell back</w:t>
      </w:r>
      <w:r w:rsidR="00732F75">
        <w:t xml:space="preserve"> in the years</w:t>
      </w:r>
      <w:r>
        <w:t xml:space="preserve"> after termination of </w:t>
      </w:r>
      <w:r w:rsidR="00DA6AB3">
        <w:t xml:space="preserve">Traveller support services during </w:t>
      </w:r>
      <w:r>
        <w:t xml:space="preserve">the recession. </w:t>
      </w:r>
      <w:r w:rsidR="00DA6AB3">
        <w:t xml:space="preserve">Transfer to </w:t>
      </w:r>
      <w:r w:rsidR="00984CE2">
        <w:t>post-primary Junior Cycle</w:t>
      </w:r>
      <w:r w:rsidR="00DA6AB3">
        <w:t xml:space="preserve"> had become the norm</w:t>
      </w:r>
      <w:r w:rsidR="00984CE2">
        <w:t>; this declined, but has recovered.</w:t>
      </w:r>
      <w:r w:rsidR="00DA6AB3">
        <w:t xml:space="preserve"> However, beyond enrolment a number of issues requiring support at both first and second levels</w:t>
      </w:r>
      <w:r w:rsidR="00984CE2">
        <w:t xml:space="preserve"> </w:t>
      </w:r>
      <w:r w:rsidR="00DA6AB3">
        <w:t xml:space="preserve">remain </w:t>
      </w:r>
      <w:r w:rsidR="00984CE2">
        <w:t>outstanding and require i</w:t>
      </w:r>
      <w:r w:rsidR="00DA6AB3">
        <w:t xml:space="preserve">nterventions. </w:t>
      </w:r>
    </w:p>
    <w:p w14:paraId="3DAA887A" w14:textId="77777777" w:rsidR="005F081F" w:rsidRDefault="00732F75" w:rsidP="00E967A0">
      <w:r>
        <w:t xml:space="preserve">The most persistent decline in Senior Cycle numbers occurred in </w:t>
      </w:r>
      <w:r w:rsidR="00984CE2">
        <w:t>the Leaving Certificate Vocational Programme</w:t>
      </w:r>
      <w:r>
        <w:t xml:space="preserve"> and LC Applied; enrolments in the established Leaving Cert fell in 2013 and 2014, and then returned </w:t>
      </w:r>
      <w:r w:rsidR="003F0FBB">
        <w:t>and have stabilised at</w:t>
      </w:r>
      <w:r>
        <w:t xml:space="preserve"> around 20</w:t>
      </w:r>
      <w:r w:rsidR="003F0FBB">
        <w:t>1</w:t>
      </w:r>
      <w:r>
        <w:t xml:space="preserve">2 levels. </w:t>
      </w:r>
    </w:p>
    <w:p w14:paraId="524272B5" w14:textId="77777777" w:rsidR="0047029C" w:rsidRDefault="0047029C" w:rsidP="0047029C">
      <w:r>
        <w:t xml:space="preserve">Traveller organisations reported widespread concern regarding the possible impact of COVID and related school closures on this recovery. However, that concern itself is evidence of education ambition, and the enrolment numbers should continue to grow, given implementation of appropriate measures to counteract the impact of the lockdown. </w:t>
      </w:r>
    </w:p>
    <w:p w14:paraId="5A37610B" w14:textId="77777777" w:rsidR="0047029C" w:rsidRDefault="0047029C" w:rsidP="0047029C">
      <w:r>
        <w:t xml:space="preserve">As noted above, there are no available disaggregated data regarding Travellers’ retention and completion levels, but there is widespread concern about these. Year-on-year dropout rates can be identified from published data on enrolments by one-year age-bands, and these suggest that there could be a wide gap between Travellers’ Leaving Cert programme enrolment and completion levels to the required standard for entry into HE courses being considered. </w:t>
      </w:r>
    </w:p>
    <w:p w14:paraId="1992D44A" w14:textId="77777777" w:rsidR="00232015" w:rsidRDefault="005F081F" w:rsidP="00E967A0">
      <w:r>
        <w:t>In 2018/19,</w:t>
      </w:r>
      <w:r w:rsidR="00232015">
        <w:t xml:space="preserve"> </w:t>
      </w:r>
      <w:r>
        <w:t>numbers</w:t>
      </w:r>
      <w:r w:rsidR="00732F75">
        <w:t xml:space="preserve"> as a percentage of the </w:t>
      </w:r>
      <w:r w:rsidR="0047029C">
        <w:t xml:space="preserve">relevant </w:t>
      </w:r>
      <w:r w:rsidR="00732F75">
        <w:t xml:space="preserve">target </w:t>
      </w:r>
      <w:r w:rsidR="0047029C">
        <w:t xml:space="preserve">age-band </w:t>
      </w:r>
      <w:r w:rsidR="00732F75">
        <w:t>populations</w:t>
      </w:r>
      <w:r>
        <w:t xml:space="preserve"> were as follows:</w:t>
      </w:r>
    </w:p>
    <w:p w14:paraId="30E6E6F0" w14:textId="77777777" w:rsidR="004A11EC" w:rsidRPr="00722723" w:rsidRDefault="00722723" w:rsidP="00637A95">
      <w:pPr>
        <w:pStyle w:val="Heading2"/>
      </w:pPr>
      <w:r>
        <w:t xml:space="preserve">Travellers enrolled </w:t>
      </w:r>
      <w:r w:rsidR="001A2626">
        <w:t xml:space="preserve">in </w:t>
      </w:r>
      <w:r w:rsidR="001A2626" w:rsidRPr="00722723">
        <w:t>Senior Cycle</w:t>
      </w:r>
      <w:r w:rsidR="001A2626" w:rsidRPr="00320A23">
        <w:t xml:space="preserve"> </w:t>
      </w:r>
      <w:r w:rsidR="001A2626">
        <w:t xml:space="preserve">and </w:t>
      </w:r>
      <w:r>
        <w:t xml:space="preserve">in </w:t>
      </w:r>
      <w:r w:rsidR="001A2626">
        <w:t xml:space="preserve">the </w:t>
      </w:r>
      <w:r w:rsidR="004D0FC2">
        <w:t xml:space="preserve">established </w:t>
      </w:r>
      <w:r w:rsidR="00320A23">
        <w:t>Leaving Certificate programme</w:t>
      </w:r>
      <w:r w:rsidR="004A11EC" w:rsidRPr="00722723">
        <w:t xml:space="preserve">, 2018/2019 </w:t>
      </w:r>
    </w:p>
    <w:tbl>
      <w:tblPr>
        <w:tblStyle w:val="TableGrid"/>
        <w:tblW w:w="5000" w:type="pct"/>
        <w:tblLook w:val="04A0" w:firstRow="1" w:lastRow="0" w:firstColumn="1" w:lastColumn="0" w:noHBand="0" w:noVBand="1"/>
      </w:tblPr>
      <w:tblGrid>
        <w:gridCol w:w="2972"/>
        <w:gridCol w:w="3119"/>
        <w:gridCol w:w="3645"/>
      </w:tblGrid>
      <w:tr w:rsidR="00320A23" w:rsidRPr="00616EB6" w14:paraId="015DBCD8" w14:textId="77777777" w:rsidTr="00616EB6">
        <w:trPr>
          <w:trHeight w:val="111"/>
        </w:trPr>
        <w:tc>
          <w:tcPr>
            <w:tcW w:w="1526" w:type="pct"/>
          </w:tcPr>
          <w:p w14:paraId="253646AD" w14:textId="77777777" w:rsidR="00320A23" w:rsidRPr="00616EB6" w:rsidRDefault="00320A23" w:rsidP="00616EB6">
            <w:pPr>
              <w:pStyle w:val="table"/>
              <w:rPr>
                <w:b/>
              </w:rPr>
            </w:pPr>
            <w:r w:rsidRPr="00616EB6">
              <w:rPr>
                <w:b/>
              </w:rPr>
              <w:t>Programme</w:t>
            </w:r>
          </w:p>
        </w:tc>
        <w:tc>
          <w:tcPr>
            <w:tcW w:w="1602" w:type="pct"/>
          </w:tcPr>
          <w:p w14:paraId="2E422B3F" w14:textId="77777777" w:rsidR="00320A23" w:rsidRPr="00616EB6" w:rsidRDefault="00320A23" w:rsidP="00616EB6">
            <w:pPr>
              <w:pStyle w:val="table"/>
              <w:rPr>
                <w:b/>
                <w:vertAlign w:val="superscript"/>
              </w:rPr>
            </w:pPr>
            <w:r w:rsidRPr="00616EB6">
              <w:rPr>
                <w:b/>
              </w:rPr>
              <w:t xml:space="preserve">Travellers </w:t>
            </w:r>
            <w:proofErr w:type="spellStart"/>
            <w:r w:rsidRPr="00616EB6">
              <w:rPr>
                <w:b/>
              </w:rPr>
              <w:t>enrolled</w:t>
            </w:r>
            <w:r w:rsidR="004B2195" w:rsidRPr="00616EB6">
              <w:rPr>
                <w:b/>
                <w:vertAlign w:val="superscript"/>
              </w:rPr>
              <w:t>a</w:t>
            </w:r>
            <w:proofErr w:type="spellEnd"/>
          </w:p>
        </w:tc>
        <w:tc>
          <w:tcPr>
            <w:tcW w:w="1872" w:type="pct"/>
          </w:tcPr>
          <w:p w14:paraId="3B81E5E8" w14:textId="77777777" w:rsidR="00320A23" w:rsidRPr="00616EB6" w:rsidRDefault="0003204C" w:rsidP="00616EB6">
            <w:pPr>
              <w:pStyle w:val="table"/>
              <w:rPr>
                <w:b/>
              </w:rPr>
            </w:pPr>
            <w:r>
              <w:rPr>
                <w:b/>
              </w:rPr>
              <w:t>%</w:t>
            </w:r>
            <w:r w:rsidR="00320A23" w:rsidRPr="00616EB6">
              <w:rPr>
                <w:b/>
              </w:rPr>
              <w:t xml:space="preserve"> of </w:t>
            </w:r>
            <w:r>
              <w:rPr>
                <w:b/>
              </w:rPr>
              <w:t>age-band</w:t>
            </w:r>
            <w:r w:rsidR="00320A23" w:rsidRPr="00616EB6">
              <w:rPr>
                <w:b/>
              </w:rPr>
              <w:t xml:space="preserve"> </w:t>
            </w:r>
            <w:proofErr w:type="spellStart"/>
            <w:r w:rsidR="00320A23" w:rsidRPr="00616EB6">
              <w:rPr>
                <w:b/>
              </w:rPr>
              <w:t>population</w:t>
            </w:r>
            <w:r w:rsidR="006D559C" w:rsidRPr="00616EB6">
              <w:rPr>
                <w:b/>
              </w:rPr>
              <w:t>s</w:t>
            </w:r>
            <w:r w:rsidR="006D559C" w:rsidRPr="00616EB6">
              <w:rPr>
                <w:b/>
                <w:vertAlign w:val="superscript"/>
              </w:rPr>
              <w:t>b</w:t>
            </w:r>
            <w:proofErr w:type="spellEnd"/>
            <w:r w:rsidR="00320A23" w:rsidRPr="00616EB6">
              <w:rPr>
                <w:b/>
              </w:rPr>
              <w:t xml:space="preserve"> </w:t>
            </w:r>
          </w:p>
        </w:tc>
      </w:tr>
      <w:tr w:rsidR="005F081F" w:rsidRPr="004A11EC" w14:paraId="080BA81E" w14:textId="77777777" w:rsidTr="00616EB6">
        <w:trPr>
          <w:trHeight w:val="138"/>
        </w:trPr>
        <w:tc>
          <w:tcPr>
            <w:tcW w:w="1526" w:type="pct"/>
            <w:hideMark/>
          </w:tcPr>
          <w:p w14:paraId="0422497E" w14:textId="77777777" w:rsidR="005F081F" w:rsidRPr="004A11EC" w:rsidRDefault="004D0FC2" w:rsidP="00616EB6">
            <w:pPr>
              <w:pStyle w:val="table"/>
            </w:pPr>
            <w:r>
              <w:t>All</w:t>
            </w:r>
            <w:r w:rsidR="005F081F" w:rsidRPr="004A11EC">
              <w:t xml:space="preserve"> </w:t>
            </w:r>
            <w:r>
              <w:t>Leaving Cert programmes</w:t>
            </w:r>
          </w:p>
        </w:tc>
        <w:tc>
          <w:tcPr>
            <w:tcW w:w="1602" w:type="pct"/>
            <w:hideMark/>
          </w:tcPr>
          <w:p w14:paraId="326A21E5" w14:textId="77777777" w:rsidR="005F081F" w:rsidRPr="004A11EC" w:rsidRDefault="005F081F" w:rsidP="00616EB6">
            <w:pPr>
              <w:pStyle w:val="table"/>
            </w:pPr>
            <w:r w:rsidRPr="004A11EC">
              <w:t>704</w:t>
            </w:r>
            <w:r w:rsidR="003F0FBB">
              <w:t xml:space="preserve"> (</w:t>
            </w:r>
            <w:r w:rsidR="00616EB6">
              <w:t xml:space="preserve">of which </w:t>
            </w:r>
            <w:r w:rsidR="003F0FBB">
              <w:t>352 in final year)</w:t>
            </w:r>
          </w:p>
        </w:tc>
        <w:tc>
          <w:tcPr>
            <w:tcW w:w="1872" w:type="pct"/>
          </w:tcPr>
          <w:p w14:paraId="2CA3193B" w14:textId="77777777" w:rsidR="005F081F" w:rsidRPr="004A11EC" w:rsidRDefault="001A2626" w:rsidP="00616EB6">
            <w:pPr>
              <w:pStyle w:val="table"/>
            </w:pPr>
            <w:r>
              <w:t>29.1</w:t>
            </w:r>
            <w:r w:rsidR="005F081F">
              <w:t>%</w:t>
            </w:r>
            <w:r w:rsidR="0061159C">
              <w:t xml:space="preserve"> of 16-19-year-olds (n=2423)</w:t>
            </w:r>
          </w:p>
        </w:tc>
      </w:tr>
      <w:tr w:rsidR="00320A23" w:rsidRPr="004A11EC" w14:paraId="7E9629C2" w14:textId="77777777" w:rsidTr="00616EB6">
        <w:trPr>
          <w:trHeight w:val="111"/>
        </w:trPr>
        <w:tc>
          <w:tcPr>
            <w:tcW w:w="1526" w:type="pct"/>
            <w:hideMark/>
          </w:tcPr>
          <w:p w14:paraId="423D4128" w14:textId="77777777" w:rsidR="00320A23" w:rsidRPr="004A11EC" w:rsidRDefault="003F0FBB" w:rsidP="00616EB6">
            <w:pPr>
              <w:pStyle w:val="table"/>
            </w:pPr>
            <w:r>
              <w:t xml:space="preserve">Est </w:t>
            </w:r>
            <w:r w:rsidR="00320A23" w:rsidRPr="004A11EC">
              <w:t>Leaving Cert (</w:t>
            </w:r>
            <w:proofErr w:type="spellStart"/>
            <w:r w:rsidR="00320A23" w:rsidRPr="004A11EC">
              <w:t>incl</w:t>
            </w:r>
            <w:proofErr w:type="spellEnd"/>
            <w:r w:rsidR="00320A23" w:rsidRPr="004A11EC">
              <w:t xml:space="preserve"> repeats)</w:t>
            </w:r>
          </w:p>
        </w:tc>
        <w:tc>
          <w:tcPr>
            <w:tcW w:w="1602" w:type="pct"/>
            <w:hideMark/>
          </w:tcPr>
          <w:p w14:paraId="42F96AD8" w14:textId="77777777" w:rsidR="00320A23" w:rsidRPr="004A11EC" w:rsidRDefault="00320A23" w:rsidP="00616EB6">
            <w:pPr>
              <w:pStyle w:val="table"/>
            </w:pPr>
            <w:r w:rsidRPr="004A11EC">
              <w:t>307</w:t>
            </w:r>
            <w:r w:rsidR="003F0FBB">
              <w:t xml:space="preserve"> (</w:t>
            </w:r>
            <w:r w:rsidR="00616EB6">
              <w:t xml:space="preserve">of which </w:t>
            </w:r>
            <w:r w:rsidR="003F0FBB">
              <w:t>153 in final year)</w:t>
            </w:r>
          </w:p>
        </w:tc>
        <w:tc>
          <w:tcPr>
            <w:tcW w:w="1872" w:type="pct"/>
          </w:tcPr>
          <w:p w14:paraId="7584B163" w14:textId="77777777" w:rsidR="00320A23" w:rsidRPr="004A11EC" w:rsidRDefault="00320A23" w:rsidP="00616EB6">
            <w:pPr>
              <w:pStyle w:val="table"/>
            </w:pPr>
            <w:r>
              <w:t>17.3</w:t>
            </w:r>
            <w:r w:rsidRPr="0061159C">
              <w:t>%</w:t>
            </w:r>
            <w:r w:rsidR="0061159C" w:rsidRPr="0061159C">
              <w:t xml:space="preserve"> </w:t>
            </w:r>
            <w:r w:rsidR="0061159C">
              <w:t xml:space="preserve">of 17-19-year-olds </w:t>
            </w:r>
            <w:r w:rsidR="0061159C" w:rsidRPr="0061159C">
              <w:t>(n=1772)</w:t>
            </w:r>
          </w:p>
        </w:tc>
      </w:tr>
    </w:tbl>
    <w:p w14:paraId="61CCEEFC" w14:textId="77777777" w:rsidR="00BD279C" w:rsidRPr="004B2195" w:rsidRDefault="004B2195" w:rsidP="004B2195">
      <w:pPr>
        <w:pStyle w:val="source"/>
      </w:pPr>
      <w:proofErr w:type="spellStart"/>
      <w:r w:rsidRPr="004B2195">
        <w:rPr>
          <w:vertAlign w:val="superscript"/>
        </w:rPr>
        <w:lastRenderedPageBreak/>
        <w:t>a</w:t>
      </w:r>
      <w:r w:rsidR="00BD279C" w:rsidRPr="004B2195">
        <w:t>DCYA</w:t>
      </w:r>
      <w:proofErr w:type="spellEnd"/>
      <w:r w:rsidR="005F081F" w:rsidRPr="004B2195">
        <w:t xml:space="preserve"> 2020</w:t>
      </w:r>
      <w:r w:rsidR="00BD279C" w:rsidRPr="004B2195">
        <w:t>, Table</w:t>
      </w:r>
      <w:r w:rsidR="008E7266">
        <w:t xml:space="preserve"> </w:t>
      </w:r>
      <w:r w:rsidR="00BD279C" w:rsidRPr="004B2195">
        <w:t>29</w:t>
      </w:r>
      <w:r w:rsidR="005F081F" w:rsidRPr="004B2195">
        <w:t>; data supplied by the DES</w:t>
      </w:r>
      <w:r w:rsidR="00BD279C" w:rsidRPr="004B2195">
        <w:t>.</w:t>
      </w:r>
      <w:r w:rsidR="005F081F" w:rsidRPr="004B2195">
        <w:t xml:space="preserve"> </w:t>
      </w:r>
      <w:proofErr w:type="spellStart"/>
      <w:r w:rsidRPr="004B2195">
        <w:rPr>
          <w:vertAlign w:val="superscript"/>
        </w:rPr>
        <w:t>b</w:t>
      </w:r>
      <w:r w:rsidR="005F081F" w:rsidRPr="004B2195">
        <w:t>CSO</w:t>
      </w:r>
      <w:proofErr w:type="spellEnd"/>
      <w:r w:rsidR="005F081F" w:rsidRPr="004B2195">
        <w:t>, Census 2016</w:t>
      </w:r>
      <w:r w:rsidR="006D559C">
        <w:t>,</w:t>
      </w:r>
      <w:r w:rsidR="0061159C">
        <w:t xml:space="preserve"> Table E8014</w:t>
      </w:r>
    </w:p>
    <w:p w14:paraId="0DF92EF6" w14:textId="77777777" w:rsidR="00491590" w:rsidRDefault="00491590" w:rsidP="0003204C">
      <w:r w:rsidRPr="0003204C">
        <w:t>Retention levels in the Leaving Cert cycle are improving</w:t>
      </w:r>
      <w:r w:rsidR="0003204C">
        <w:t>, especially in the older age bands.</w:t>
      </w:r>
      <w:r w:rsidR="00F146E2">
        <w:t xml:space="preserve"> The 17-19yr-old Traveller student numbers held steady through the recession, and also showed marked resilience, 2014-2015. Data available from then to 2018 is not age-banded, but show that overall growth is continuing. </w:t>
      </w:r>
      <w:r w:rsidR="0003204C">
        <w:t xml:space="preserve">This suggests growing ambition for education, </w:t>
      </w:r>
      <w:r w:rsidR="00F146E2">
        <w:t>and for continuing to higher levels.</w:t>
      </w:r>
    </w:p>
    <w:p w14:paraId="2B8B5F0C" w14:textId="77777777" w:rsidR="00F146E2" w:rsidRPr="0003204C" w:rsidRDefault="00F146E2" w:rsidP="00637A95">
      <w:pPr>
        <w:pStyle w:val="Heading2"/>
      </w:pPr>
      <w:r w:rsidRPr="00637A95">
        <w:t>Enrolments</w:t>
      </w:r>
      <w:r>
        <w:t xml:space="preserve"> by age band, Traveller students ages 16-19 years, by academic year</w:t>
      </w:r>
    </w:p>
    <w:p w14:paraId="1CCA145F" w14:textId="77777777" w:rsidR="00491590" w:rsidRDefault="00491590" w:rsidP="00637A95">
      <w:pPr>
        <w:jc w:val="center"/>
      </w:pPr>
      <w:r>
        <w:rPr>
          <w:noProof/>
        </w:rPr>
        <w:drawing>
          <wp:inline distT="0" distB="0" distL="0" distR="0" wp14:anchorId="546ED071" wp14:editId="3A3F6015">
            <wp:extent cx="4324350" cy="2234565"/>
            <wp:effectExtent l="19050" t="19050" r="19050" b="133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351341" cy="2248512"/>
                    </a:xfrm>
                    <a:prstGeom prst="rect">
                      <a:avLst/>
                    </a:prstGeom>
                    <a:noFill/>
                    <a:ln>
                      <a:solidFill>
                        <a:schemeClr val="tx1"/>
                      </a:solidFill>
                    </a:ln>
                  </pic:spPr>
                </pic:pic>
              </a:graphicData>
            </a:graphic>
          </wp:inline>
        </w:drawing>
      </w:r>
    </w:p>
    <w:p w14:paraId="0F7C3F28" w14:textId="77777777" w:rsidR="003342A2" w:rsidRPr="00637A95" w:rsidRDefault="00031795" w:rsidP="009B4DDE">
      <w:r w:rsidRPr="00637A95">
        <w:t xml:space="preserve">The graphs and tables in this submission indicate that progress in education is uneven, but over the years, it does happen. Crises such as the COVID pandemic and associated lockdowns have had marked impact, especially on marginalised groups such as the Travellers – so, the recent drop in </w:t>
      </w:r>
      <w:r w:rsidR="009B4DDE" w:rsidRPr="00637A95">
        <w:t xml:space="preserve">numbers of </w:t>
      </w:r>
      <w:r w:rsidRPr="00637A95">
        <w:t xml:space="preserve">HE first-time entry </w:t>
      </w:r>
      <w:r w:rsidR="009B4DDE" w:rsidRPr="00637A95">
        <w:t>Traveller students</w:t>
      </w:r>
      <w:r w:rsidRPr="00637A95">
        <w:t xml:space="preserve">, from 48 </w:t>
      </w:r>
      <w:r w:rsidR="009B4DDE" w:rsidRPr="00637A95">
        <w:t xml:space="preserve">in 2019/2020 </w:t>
      </w:r>
      <w:r w:rsidRPr="00637A95">
        <w:t xml:space="preserve">to 39 </w:t>
      </w:r>
      <w:r w:rsidR="009B4DDE" w:rsidRPr="00637A95">
        <w:t>(HEA 2021)</w:t>
      </w:r>
      <w:r w:rsidRPr="00637A95">
        <w:t>, is not surprising</w:t>
      </w:r>
      <w:r w:rsidR="006B04DC" w:rsidRPr="00637A95">
        <w:t>. P</w:t>
      </w:r>
      <w:r w:rsidRPr="00637A95">
        <w:t>rovider expectations and ambition for the future should be fuelled by the long-term trends.</w:t>
      </w:r>
      <w:r w:rsidR="003342A2" w:rsidRPr="00637A95">
        <w:t xml:space="preserve"> </w:t>
      </w:r>
      <w:r w:rsidR="006B04DC" w:rsidRPr="00637A95">
        <w:t>The total number of</w:t>
      </w:r>
      <w:r w:rsidR="003342A2" w:rsidRPr="00637A95">
        <w:t xml:space="preserve"> Travellers students in HE </w:t>
      </w:r>
      <w:r w:rsidR="006B04DC" w:rsidRPr="00637A95">
        <w:t xml:space="preserve">“increased </w:t>
      </w:r>
      <w:r w:rsidR="006B04DC" w:rsidRPr="00637A95">
        <w:rPr>
          <w:sz w:val="23"/>
          <w:szCs w:val="23"/>
        </w:rPr>
        <w:t xml:space="preserve">from 35 (2012/2013) to 61 (2017/2018); a 74% increase” (DES, 2021, p4). </w:t>
      </w:r>
    </w:p>
    <w:p w14:paraId="2C8F8F50" w14:textId="77777777" w:rsidR="004B53E6" w:rsidRPr="00637A95" w:rsidRDefault="004B53E6" w:rsidP="004B53E6">
      <w:r w:rsidRPr="00637A95">
        <w:t xml:space="preserve">Identifying </w:t>
      </w:r>
      <w:r w:rsidR="00031795" w:rsidRPr="00637A95">
        <w:t xml:space="preserve">specific </w:t>
      </w:r>
      <w:r w:rsidRPr="00637A95">
        <w:t>target numbers for HE Entry over the coming seven years is difficult, given the limits of the available statistical data</w:t>
      </w:r>
      <w:r w:rsidR="00031795" w:rsidRPr="00637A95">
        <w:t xml:space="preserve"> on which to base them</w:t>
      </w:r>
      <w:r w:rsidRPr="00637A95">
        <w:t xml:space="preserve">. Targets must </w:t>
      </w:r>
      <w:r w:rsidR="00031795" w:rsidRPr="00637A95">
        <w:t>be grounded in</w:t>
      </w:r>
      <w:r w:rsidRPr="00637A95">
        <w:t xml:space="preserve"> the current reality, but must also be visionary -- push the boat out, challenge/inspire potential HE students to shake off the limits imposed by a history of exclusion and denigration, and to aim to fulfil their true potential. </w:t>
      </w:r>
    </w:p>
    <w:p w14:paraId="1A79C93B" w14:textId="77777777" w:rsidR="00320A23" w:rsidRDefault="00616EB6" w:rsidP="00616EB6">
      <w:pPr>
        <w:pStyle w:val="Heading1"/>
      </w:pPr>
      <w:r>
        <w:t>T</w:t>
      </w:r>
      <w:r w:rsidR="00BD279C">
        <w:t xml:space="preserve">arget </w:t>
      </w:r>
      <w:r>
        <w:t xml:space="preserve">for the next </w:t>
      </w:r>
      <w:r w:rsidR="00BF001E">
        <w:t>three, five, and</w:t>
      </w:r>
      <w:r w:rsidR="00BD279C">
        <w:t xml:space="preserve"> seven years</w:t>
      </w:r>
    </w:p>
    <w:p w14:paraId="4D2995C1" w14:textId="77777777" w:rsidR="000F7FA6" w:rsidRPr="00E834D7" w:rsidRDefault="00013211" w:rsidP="00E967A0">
      <w:r>
        <w:t>As noted above, t</w:t>
      </w:r>
      <w:r w:rsidR="000F7FA6">
        <w:t>he Irish Times (2022) reported</w:t>
      </w:r>
      <w:r w:rsidR="00A235B7">
        <w:t xml:space="preserve"> the latest national</w:t>
      </w:r>
      <w:r w:rsidR="0025435A">
        <w:t xml:space="preserve"> HE</w:t>
      </w:r>
      <w:r w:rsidR="00A235B7">
        <w:t xml:space="preserve"> transition </w:t>
      </w:r>
      <w:r w:rsidR="00332ABC">
        <w:t>rates, by school type</w:t>
      </w:r>
      <w:r w:rsidR="000F7FA6">
        <w:t>:</w:t>
      </w:r>
    </w:p>
    <w:p w14:paraId="4F62E53A" w14:textId="77777777" w:rsidR="00013211" w:rsidRDefault="00013211" w:rsidP="00E967A0">
      <w:pPr>
        <w:pStyle w:val="ListParagraph"/>
        <w:numPr>
          <w:ilvl w:val="0"/>
          <w:numId w:val="1"/>
        </w:numPr>
      </w:pPr>
      <w:r w:rsidRPr="006D0424">
        <w:t>80</w:t>
      </w:r>
      <w:r>
        <w:t xml:space="preserve">% </w:t>
      </w:r>
      <w:r w:rsidR="00B574F7">
        <w:t>of Leaving Cert in</w:t>
      </w:r>
      <w:r>
        <w:t xml:space="preserve"> n</w:t>
      </w:r>
      <w:r w:rsidRPr="006D0424">
        <w:t xml:space="preserve">on-fee-charging schools </w:t>
      </w:r>
      <w:r w:rsidR="0025435A">
        <w:t>(55% of enrolled Travellers are in these schools)</w:t>
      </w:r>
      <w:r w:rsidR="00B574F7">
        <w:t xml:space="preserve"> </w:t>
      </w:r>
    </w:p>
    <w:p w14:paraId="2000D34A" w14:textId="77777777" w:rsidR="000F7FA6" w:rsidRDefault="00E834D7" w:rsidP="00E967A0">
      <w:pPr>
        <w:pStyle w:val="ListParagraph"/>
        <w:numPr>
          <w:ilvl w:val="0"/>
          <w:numId w:val="1"/>
        </w:numPr>
      </w:pPr>
      <w:r w:rsidRPr="00E834D7">
        <w:t xml:space="preserve">62% </w:t>
      </w:r>
      <w:r w:rsidR="00B574F7">
        <w:t>of Leaving Cert</w:t>
      </w:r>
      <w:r w:rsidRPr="00E834D7">
        <w:t xml:space="preserve"> </w:t>
      </w:r>
      <w:r w:rsidR="00B574F7">
        <w:t xml:space="preserve">in </w:t>
      </w:r>
      <w:r w:rsidRPr="00E834D7">
        <w:t xml:space="preserve">DEIS schools </w:t>
      </w:r>
      <w:r w:rsidR="0025435A">
        <w:t>(45% of enrolled Traveller s are in these schools)</w:t>
      </w:r>
      <w:r w:rsidR="00984CE2">
        <w:t>.</w:t>
      </w:r>
    </w:p>
    <w:p w14:paraId="5AB682F7" w14:textId="77777777" w:rsidR="00984CE2" w:rsidRDefault="00C41E46" w:rsidP="00E967A0">
      <w:r>
        <w:t>In this table, the above percentage rates have been used to calculate possible</w:t>
      </w:r>
      <w:r w:rsidR="00984CE2">
        <w:t xml:space="preserve"> target numbers for transition to HE</w:t>
      </w:r>
      <w:r>
        <w:t xml:space="preserve"> (again, it must be remembered that the baseline figures are for Leaving Cert</w:t>
      </w:r>
      <w:r w:rsidR="00A3257A">
        <w:t xml:space="preserve"> final-year</w:t>
      </w:r>
      <w:r>
        <w:t xml:space="preserve"> enrolments, not completion; also, it is presumed that all would attain the Leaving Cert results required for HE entry):</w:t>
      </w:r>
    </w:p>
    <w:p w14:paraId="26CB29B4" w14:textId="77777777" w:rsidR="00BD3B20" w:rsidRDefault="000314D2" w:rsidP="00637A95">
      <w:pPr>
        <w:pStyle w:val="Heading2"/>
      </w:pPr>
      <w:r>
        <w:t>School-to-HE transition numbers</w:t>
      </w:r>
      <w:r w:rsidR="00BD3B20">
        <w:t xml:space="preserve"> required </w:t>
      </w:r>
      <w:r w:rsidR="00A927EA">
        <w:t xml:space="preserve">for Travellers </w:t>
      </w:r>
      <w:r w:rsidR="00BD3B20">
        <w:t xml:space="preserve">to </w:t>
      </w:r>
      <w:r w:rsidR="00A82445">
        <w:t>achieve</w:t>
      </w:r>
      <w:r w:rsidR="00BD3B20">
        <w:t xml:space="preserve"> </w:t>
      </w:r>
      <w:r w:rsidR="00A82445">
        <w:t xml:space="preserve">parity </w:t>
      </w:r>
      <w:r w:rsidR="00984CE2">
        <w:t>with</w:t>
      </w:r>
      <w:r w:rsidR="00A82445">
        <w:t xml:space="preserve"> </w:t>
      </w:r>
      <w:r w:rsidR="00277F10">
        <w:t xml:space="preserve">majority students in </w:t>
      </w:r>
      <w:r w:rsidR="00984CE2">
        <w:t>non-fee-paying</w:t>
      </w:r>
      <w:r w:rsidR="00277F10">
        <w:t xml:space="preserve"> schools</w:t>
      </w:r>
      <w:r w:rsidR="00984CE2">
        <w:t xml:space="preserve"> or DEIS schools </w:t>
      </w:r>
    </w:p>
    <w:tbl>
      <w:tblPr>
        <w:tblStyle w:val="TableGrid"/>
        <w:tblW w:w="5000" w:type="pct"/>
        <w:tblLook w:val="04A0" w:firstRow="1" w:lastRow="0" w:firstColumn="1" w:lastColumn="0" w:noHBand="0" w:noVBand="1"/>
      </w:tblPr>
      <w:tblGrid>
        <w:gridCol w:w="2752"/>
        <w:gridCol w:w="1530"/>
        <w:gridCol w:w="1225"/>
        <w:gridCol w:w="1530"/>
        <w:gridCol w:w="1379"/>
        <w:gridCol w:w="1320"/>
      </w:tblGrid>
      <w:tr w:rsidR="008D51BF" w:rsidRPr="00616EB6" w14:paraId="74973E86" w14:textId="77777777" w:rsidTr="00616EB6">
        <w:tc>
          <w:tcPr>
            <w:tcW w:w="1413" w:type="pct"/>
            <w:vMerge w:val="restart"/>
            <w:vAlign w:val="center"/>
          </w:tcPr>
          <w:p w14:paraId="5B0BAE6A" w14:textId="77777777" w:rsidR="008D51BF" w:rsidRPr="00616EB6" w:rsidRDefault="008D51BF" w:rsidP="00616EB6">
            <w:pPr>
              <w:pStyle w:val="table"/>
              <w:rPr>
                <w:b/>
              </w:rPr>
            </w:pPr>
            <w:r w:rsidRPr="00616EB6">
              <w:rPr>
                <w:b/>
              </w:rPr>
              <w:t xml:space="preserve">Leaving Certificate </w:t>
            </w:r>
            <w:r w:rsidRPr="00616EB6">
              <w:rPr>
                <w:b/>
              </w:rPr>
              <w:br/>
              <w:t>final-year enrolments</w:t>
            </w:r>
          </w:p>
        </w:tc>
        <w:tc>
          <w:tcPr>
            <w:tcW w:w="1415" w:type="pct"/>
            <w:gridSpan w:val="2"/>
          </w:tcPr>
          <w:p w14:paraId="6A2EF20B" w14:textId="77777777" w:rsidR="008D51BF" w:rsidRPr="00616EB6" w:rsidRDefault="008D51BF" w:rsidP="000314D2">
            <w:pPr>
              <w:pStyle w:val="table"/>
              <w:jc w:val="center"/>
              <w:rPr>
                <w:b/>
              </w:rPr>
            </w:pPr>
            <w:r w:rsidRPr="00616EB6">
              <w:rPr>
                <w:b/>
              </w:rPr>
              <w:t>Of which --</w:t>
            </w:r>
          </w:p>
        </w:tc>
        <w:tc>
          <w:tcPr>
            <w:tcW w:w="1494" w:type="pct"/>
            <w:gridSpan w:val="2"/>
          </w:tcPr>
          <w:p w14:paraId="26089286" w14:textId="77777777" w:rsidR="008D51BF" w:rsidRPr="00616EB6" w:rsidRDefault="008D51BF" w:rsidP="000314D2">
            <w:pPr>
              <w:pStyle w:val="table"/>
              <w:jc w:val="center"/>
              <w:rPr>
                <w:b/>
              </w:rPr>
            </w:pPr>
            <w:r w:rsidRPr="00616EB6">
              <w:rPr>
                <w:b/>
              </w:rPr>
              <w:t>HE Transitions parity</w:t>
            </w:r>
          </w:p>
        </w:tc>
        <w:tc>
          <w:tcPr>
            <w:tcW w:w="678" w:type="pct"/>
            <w:vMerge w:val="restart"/>
            <w:vAlign w:val="center"/>
          </w:tcPr>
          <w:p w14:paraId="31E9E231" w14:textId="77777777" w:rsidR="008D51BF" w:rsidRPr="00616EB6" w:rsidRDefault="008D51BF" w:rsidP="000314D2">
            <w:pPr>
              <w:pStyle w:val="table"/>
              <w:jc w:val="center"/>
              <w:rPr>
                <w:b/>
              </w:rPr>
            </w:pPr>
            <w:r w:rsidRPr="00616EB6">
              <w:rPr>
                <w:b/>
              </w:rPr>
              <w:t>Total HE</w:t>
            </w:r>
            <w:r w:rsidRPr="00616EB6">
              <w:rPr>
                <w:b/>
              </w:rPr>
              <w:br/>
              <w:t>transitions</w:t>
            </w:r>
          </w:p>
        </w:tc>
      </w:tr>
      <w:tr w:rsidR="008D51BF" w14:paraId="29600B4D" w14:textId="77777777" w:rsidTr="00616EB6">
        <w:tc>
          <w:tcPr>
            <w:tcW w:w="1413" w:type="pct"/>
            <w:vMerge/>
          </w:tcPr>
          <w:p w14:paraId="69469AE1" w14:textId="77777777" w:rsidR="008D51BF" w:rsidRPr="00D87B21" w:rsidRDefault="008D51BF" w:rsidP="00616EB6">
            <w:pPr>
              <w:pStyle w:val="table"/>
            </w:pPr>
          </w:p>
        </w:tc>
        <w:tc>
          <w:tcPr>
            <w:tcW w:w="786" w:type="pct"/>
          </w:tcPr>
          <w:p w14:paraId="54B0A1D9" w14:textId="77777777" w:rsidR="008D51BF" w:rsidRPr="00616EB6" w:rsidRDefault="008D51BF" w:rsidP="000314D2">
            <w:pPr>
              <w:pStyle w:val="table"/>
              <w:jc w:val="center"/>
              <w:rPr>
                <w:b/>
              </w:rPr>
            </w:pPr>
            <w:r w:rsidRPr="00616EB6">
              <w:rPr>
                <w:b/>
              </w:rPr>
              <w:t xml:space="preserve">55% in </w:t>
            </w:r>
            <w:r w:rsidRPr="00616EB6">
              <w:rPr>
                <w:b/>
              </w:rPr>
              <w:br/>
              <w:t>non-fee-paying schools</w:t>
            </w:r>
          </w:p>
        </w:tc>
        <w:tc>
          <w:tcPr>
            <w:tcW w:w="629" w:type="pct"/>
          </w:tcPr>
          <w:p w14:paraId="173DE231" w14:textId="77777777" w:rsidR="008D51BF" w:rsidRPr="00616EB6" w:rsidRDefault="008D51BF" w:rsidP="000314D2">
            <w:pPr>
              <w:pStyle w:val="table"/>
              <w:jc w:val="center"/>
              <w:rPr>
                <w:b/>
              </w:rPr>
            </w:pPr>
            <w:r w:rsidRPr="00616EB6">
              <w:rPr>
                <w:b/>
              </w:rPr>
              <w:t>45% in DEIS schools</w:t>
            </w:r>
          </w:p>
        </w:tc>
        <w:tc>
          <w:tcPr>
            <w:tcW w:w="786" w:type="pct"/>
          </w:tcPr>
          <w:p w14:paraId="3C1B3BE8" w14:textId="77777777" w:rsidR="008D51BF" w:rsidRPr="00616EB6" w:rsidRDefault="008D51BF" w:rsidP="000314D2">
            <w:pPr>
              <w:pStyle w:val="table"/>
              <w:jc w:val="center"/>
              <w:rPr>
                <w:b/>
              </w:rPr>
            </w:pPr>
            <w:r w:rsidRPr="00616EB6">
              <w:rPr>
                <w:b/>
              </w:rPr>
              <w:t>80% from non-fee-paying schools</w:t>
            </w:r>
          </w:p>
        </w:tc>
        <w:tc>
          <w:tcPr>
            <w:tcW w:w="708" w:type="pct"/>
          </w:tcPr>
          <w:p w14:paraId="7BD5FF68" w14:textId="77777777" w:rsidR="008D51BF" w:rsidRPr="00616EB6" w:rsidRDefault="008D51BF" w:rsidP="000314D2">
            <w:pPr>
              <w:pStyle w:val="table"/>
              <w:jc w:val="center"/>
              <w:rPr>
                <w:b/>
              </w:rPr>
            </w:pPr>
            <w:r w:rsidRPr="00616EB6">
              <w:rPr>
                <w:b/>
              </w:rPr>
              <w:t>62% from DEIS schools</w:t>
            </w:r>
          </w:p>
        </w:tc>
        <w:tc>
          <w:tcPr>
            <w:tcW w:w="678" w:type="pct"/>
            <w:vMerge/>
          </w:tcPr>
          <w:p w14:paraId="5BB42799" w14:textId="77777777" w:rsidR="008D51BF" w:rsidRPr="00616EB6" w:rsidRDefault="008D51BF" w:rsidP="00616EB6">
            <w:pPr>
              <w:pStyle w:val="table"/>
              <w:rPr>
                <w:b/>
              </w:rPr>
            </w:pPr>
          </w:p>
        </w:tc>
      </w:tr>
      <w:tr w:rsidR="008D51BF" w14:paraId="34F2A6BD" w14:textId="77777777" w:rsidTr="00616EB6">
        <w:tc>
          <w:tcPr>
            <w:tcW w:w="1413" w:type="pct"/>
          </w:tcPr>
          <w:p w14:paraId="649E3FF8" w14:textId="77777777" w:rsidR="008D51BF" w:rsidRPr="00D87B21" w:rsidRDefault="008D51BF" w:rsidP="00616EB6">
            <w:pPr>
              <w:pStyle w:val="table"/>
            </w:pPr>
            <w:r w:rsidRPr="00D87B21">
              <w:t xml:space="preserve">153 (=2018 </w:t>
            </w:r>
            <w:proofErr w:type="spellStart"/>
            <w:r w:rsidRPr="00D87B21">
              <w:t>Enr</w:t>
            </w:r>
            <w:proofErr w:type="spellEnd"/>
            <w:r w:rsidRPr="00D87B21">
              <w:t>)</w:t>
            </w:r>
          </w:p>
        </w:tc>
        <w:tc>
          <w:tcPr>
            <w:tcW w:w="786" w:type="pct"/>
          </w:tcPr>
          <w:p w14:paraId="2608F35F" w14:textId="77777777" w:rsidR="008D51BF" w:rsidRPr="00D87B21" w:rsidRDefault="008D51BF" w:rsidP="00672637">
            <w:pPr>
              <w:pStyle w:val="table"/>
              <w:jc w:val="center"/>
            </w:pPr>
            <w:r w:rsidRPr="00D87B21">
              <w:t>84</w:t>
            </w:r>
          </w:p>
        </w:tc>
        <w:tc>
          <w:tcPr>
            <w:tcW w:w="629" w:type="pct"/>
          </w:tcPr>
          <w:p w14:paraId="406D5B07" w14:textId="77777777" w:rsidR="008D51BF" w:rsidRPr="00D87B21" w:rsidRDefault="008D51BF" w:rsidP="00672637">
            <w:pPr>
              <w:pStyle w:val="table"/>
              <w:jc w:val="center"/>
            </w:pPr>
            <w:r w:rsidRPr="00D87B21">
              <w:t>69</w:t>
            </w:r>
          </w:p>
        </w:tc>
        <w:tc>
          <w:tcPr>
            <w:tcW w:w="786" w:type="pct"/>
          </w:tcPr>
          <w:p w14:paraId="3E49FB60" w14:textId="77777777" w:rsidR="008D51BF" w:rsidRPr="00D87B21" w:rsidRDefault="008D51BF" w:rsidP="00672637">
            <w:pPr>
              <w:pStyle w:val="table"/>
              <w:jc w:val="center"/>
            </w:pPr>
            <w:r w:rsidRPr="00D87B21">
              <w:t>67</w:t>
            </w:r>
          </w:p>
        </w:tc>
        <w:tc>
          <w:tcPr>
            <w:tcW w:w="708" w:type="pct"/>
          </w:tcPr>
          <w:p w14:paraId="373D77EE" w14:textId="77777777" w:rsidR="008D51BF" w:rsidRPr="00D87B21" w:rsidRDefault="008D51BF" w:rsidP="00672637">
            <w:pPr>
              <w:pStyle w:val="table"/>
              <w:jc w:val="center"/>
            </w:pPr>
            <w:r w:rsidRPr="00D87B21">
              <w:t>43</w:t>
            </w:r>
          </w:p>
        </w:tc>
        <w:tc>
          <w:tcPr>
            <w:tcW w:w="678" w:type="pct"/>
          </w:tcPr>
          <w:p w14:paraId="4C2EA812" w14:textId="77777777" w:rsidR="008D51BF" w:rsidRPr="00D87B21" w:rsidRDefault="008D51BF" w:rsidP="00672637">
            <w:pPr>
              <w:pStyle w:val="table"/>
              <w:jc w:val="center"/>
            </w:pPr>
            <w:r w:rsidRPr="00D87B21">
              <w:t>110</w:t>
            </w:r>
          </w:p>
        </w:tc>
      </w:tr>
      <w:tr w:rsidR="008D51BF" w14:paraId="1D20C687" w14:textId="77777777" w:rsidTr="00616EB6">
        <w:tc>
          <w:tcPr>
            <w:tcW w:w="1413" w:type="pct"/>
          </w:tcPr>
          <w:p w14:paraId="5BF35F39" w14:textId="77777777" w:rsidR="008D51BF" w:rsidRPr="00D87B21" w:rsidRDefault="008D51BF" w:rsidP="00616EB6">
            <w:pPr>
              <w:pStyle w:val="table"/>
            </w:pPr>
            <w:r w:rsidRPr="00D87B21">
              <w:t xml:space="preserve">307 (=2018 </w:t>
            </w:r>
            <w:proofErr w:type="spellStart"/>
            <w:r w:rsidRPr="00D87B21">
              <w:t>Enr</w:t>
            </w:r>
            <w:proofErr w:type="spellEnd"/>
            <w:r w:rsidRPr="00D87B21">
              <w:t xml:space="preserve"> x2)</w:t>
            </w:r>
          </w:p>
        </w:tc>
        <w:tc>
          <w:tcPr>
            <w:tcW w:w="786" w:type="pct"/>
          </w:tcPr>
          <w:p w14:paraId="22990140" w14:textId="77777777" w:rsidR="008D51BF" w:rsidRPr="00D87B21" w:rsidRDefault="008D51BF" w:rsidP="00672637">
            <w:pPr>
              <w:pStyle w:val="table"/>
              <w:jc w:val="center"/>
            </w:pPr>
            <w:r w:rsidRPr="00D87B21">
              <w:t>169</w:t>
            </w:r>
          </w:p>
        </w:tc>
        <w:tc>
          <w:tcPr>
            <w:tcW w:w="629" w:type="pct"/>
          </w:tcPr>
          <w:p w14:paraId="62D1AB2C" w14:textId="77777777" w:rsidR="008D51BF" w:rsidRPr="00D87B21" w:rsidRDefault="008D51BF" w:rsidP="00672637">
            <w:pPr>
              <w:pStyle w:val="table"/>
              <w:jc w:val="center"/>
            </w:pPr>
            <w:r w:rsidRPr="00D87B21">
              <w:t>138</w:t>
            </w:r>
          </w:p>
        </w:tc>
        <w:tc>
          <w:tcPr>
            <w:tcW w:w="786" w:type="pct"/>
          </w:tcPr>
          <w:p w14:paraId="20A0964C" w14:textId="77777777" w:rsidR="008D51BF" w:rsidRPr="00D87B21" w:rsidRDefault="008D51BF" w:rsidP="00672637">
            <w:pPr>
              <w:pStyle w:val="table"/>
              <w:jc w:val="center"/>
            </w:pPr>
            <w:r w:rsidRPr="00D87B21">
              <w:t>135</w:t>
            </w:r>
          </w:p>
        </w:tc>
        <w:tc>
          <w:tcPr>
            <w:tcW w:w="708" w:type="pct"/>
          </w:tcPr>
          <w:p w14:paraId="4BB296E2" w14:textId="77777777" w:rsidR="008D51BF" w:rsidRPr="00D87B21" w:rsidRDefault="008D51BF" w:rsidP="00672637">
            <w:pPr>
              <w:pStyle w:val="table"/>
              <w:jc w:val="center"/>
            </w:pPr>
            <w:r w:rsidRPr="00D87B21">
              <w:t>86</w:t>
            </w:r>
          </w:p>
        </w:tc>
        <w:tc>
          <w:tcPr>
            <w:tcW w:w="678" w:type="pct"/>
          </w:tcPr>
          <w:p w14:paraId="1D533B90" w14:textId="77777777" w:rsidR="008D51BF" w:rsidRPr="00D87B21" w:rsidRDefault="008D51BF" w:rsidP="00672637">
            <w:pPr>
              <w:pStyle w:val="table"/>
              <w:jc w:val="center"/>
            </w:pPr>
            <w:r w:rsidRPr="00D87B21">
              <w:t>221</w:t>
            </w:r>
          </w:p>
        </w:tc>
      </w:tr>
      <w:tr w:rsidR="008D51BF" w14:paraId="27E35BD4" w14:textId="77777777" w:rsidTr="00616EB6">
        <w:tc>
          <w:tcPr>
            <w:tcW w:w="1413" w:type="pct"/>
          </w:tcPr>
          <w:p w14:paraId="0D6CD9E6" w14:textId="77777777" w:rsidR="008D51BF" w:rsidRPr="00D87B21" w:rsidRDefault="008D51BF" w:rsidP="00616EB6">
            <w:pPr>
              <w:pStyle w:val="table"/>
            </w:pPr>
            <w:r w:rsidRPr="00D87B21">
              <w:t xml:space="preserve">459 (=2018 </w:t>
            </w:r>
            <w:proofErr w:type="spellStart"/>
            <w:r w:rsidRPr="00D87B21">
              <w:t>Enr</w:t>
            </w:r>
            <w:proofErr w:type="spellEnd"/>
            <w:r w:rsidRPr="00D87B21">
              <w:t xml:space="preserve"> x3)</w:t>
            </w:r>
          </w:p>
        </w:tc>
        <w:tc>
          <w:tcPr>
            <w:tcW w:w="786" w:type="pct"/>
          </w:tcPr>
          <w:p w14:paraId="23F01084" w14:textId="77777777" w:rsidR="008D51BF" w:rsidRPr="00D87B21" w:rsidRDefault="008D51BF" w:rsidP="00672637">
            <w:pPr>
              <w:pStyle w:val="table"/>
              <w:jc w:val="center"/>
            </w:pPr>
            <w:r w:rsidRPr="00D87B21">
              <w:t>253</w:t>
            </w:r>
          </w:p>
        </w:tc>
        <w:tc>
          <w:tcPr>
            <w:tcW w:w="629" w:type="pct"/>
          </w:tcPr>
          <w:p w14:paraId="4BB66820" w14:textId="77777777" w:rsidR="008D51BF" w:rsidRPr="00D87B21" w:rsidRDefault="008D51BF" w:rsidP="00672637">
            <w:pPr>
              <w:pStyle w:val="table"/>
              <w:jc w:val="center"/>
            </w:pPr>
            <w:r w:rsidRPr="00D87B21">
              <w:t>114</w:t>
            </w:r>
          </w:p>
        </w:tc>
        <w:tc>
          <w:tcPr>
            <w:tcW w:w="786" w:type="pct"/>
          </w:tcPr>
          <w:p w14:paraId="2FC57B1A" w14:textId="77777777" w:rsidR="008D51BF" w:rsidRPr="00D87B21" w:rsidRDefault="008D51BF" w:rsidP="00672637">
            <w:pPr>
              <w:pStyle w:val="table"/>
              <w:jc w:val="center"/>
            </w:pPr>
            <w:r w:rsidRPr="00D87B21">
              <w:t>202</w:t>
            </w:r>
          </w:p>
        </w:tc>
        <w:tc>
          <w:tcPr>
            <w:tcW w:w="708" w:type="pct"/>
          </w:tcPr>
          <w:p w14:paraId="4610685D" w14:textId="77777777" w:rsidR="008D51BF" w:rsidRPr="00D87B21" w:rsidRDefault="008D51BF" w:rsidP="00672637">
            <w:pPr>
              <w:pStyle w:val="table"/>
              <w:jc w:val="center"/>
            </w:pPr>
            <w:r w:rsidRPr="00D87B21">
              <w:t>71</w:t>
            </w:r>
          </w:p>
        </w:tc>
        <w:tc>
          <w:tcPr>
            <w:tcW w:w="678" w:type="pct"/>
          </w:tcPr>
          <w:p w14:paraId="7E80A268" w14:textId="77777777" w:rsidR="008D51BF" w:rsidRPr="00D87B21" w:rsidRDefault="008D51BF" w:rsidP="00672637">
            <w:pPr>
              <w:pStyle w:val="table"/>
              <w:jc w:val="center"/>
            </w:pPr>
            <w:r w:rsidRPr="00D87B21">
              <w:t>273</w:t>
            </w:r>
          </w:p>
        </w:tc>
      </w:tr>
    </w:tbl>
    <w:p w14:paraId="5846AB28" w14:textId="77777777" w:rsidR="00C37524" w:rsidRDefault="0025435A" w:rsidP="00E967A0">
      <w:r>
        <w:t xml:space="preserve">Numbers of Travellers enrolled in Senior Cycle doubled in the seven years from 2010 to 2015, and numbers in </w:t>
      </w:r>
      <w:r w:rsidR="008D51BF">
        <w:t xml:space="preserve">the </w:t>
      </w:r>
      <w:r>
        <w:t xml:space="preserve">established Leaving Cert programme trebled. </w:t>
      </w:r>
      <w:r w:rsidR="00C37524">
        <w:t xml:space="preserve">A similar growth rate in Leaving Cert enrolments and </w:t>
      </w:r>
      <w:r w:rsidR="00C37524">
        <w:lastRenderedPageBreak/>
        <w:t xml:space="preserve">completion numbers, should be the aim for the coming seven years. The three-year, five-year and seven-year targets suggested below will require supports to ensure that Traveller students enrolled in the Leaving Cert programme, complete </w:t>
      </w:r>
      <w:r w:rsidR="002B176B">
        <w:t>it</w:t>
      </w:r>
      <w:r w:rsidR="00C37524">
        <w:t xml:space="preserve"> to the level </w:t>
      </w:r>
      <w:r w:rsidR="002B176B">
        <w:t xml:space="preserve">required </w:t>
      </w:r>
      <w:r w:rsidR="00C37524">
        <w:t>for HE entry.</w:t>
      </w:r>
    </w:p>
    <w:p w14:paraId="2A2100E3" w14:textId="77777777" w:rsidR="00BF001E" w:rsidRDefault="00BF001E" w:rsidP="00637A95">
      <w:pPr>
        <w:pStyle w:val="Heading2"/>
        <w:jc w:val="left"/>
      </w:pPr>
      <w:r>
        <w:t>Target numbers</w:t>
      </w:r>
      <w:r w:rsidR="00C37524">
        <w:t xml:space="preserve"> for HE entrants from the Traveller community</w:t>
      </w:r>
    </w:p>
    <w:p w14:paraId="4F2BD8C2" w14:textId="77777777" w:rsidR="00C37524" w:rsidRDefault="00BF001E" w:rsidP="00E967A0">
      <w:r>
        <w:t xml:space="preserve">Given the </w:t>
      </w:r>
      <w:r w:rsidR="00FE48F6">
        <w:t>limits attending</w:t>
      </w:r>
      <w:r>
        <w:t xml:space="preserve"> these data, the</w:t>
      </w:r>
      <w:r w:rsidR="00FE48F6">
        <w:t xml:space="preserve">se </w:t>
      </w:r>
      <w:r>
        <w:t xml:space="preserve">suggested targets are tentative. But </w:t>
      </w:r>
      <w:r w:rsidR="00C37524">
        <w:t xml:space="preserve">to promote education ambition among severely marginalised communities, institutions must be ambitious for them. </w:t>
      </w:r>
    </w:p>
    <w:tbl>
      <w:tblPr>
        <w:tblStyle w:val="TableGrid"/>
        <w:tblW w:w="5000" w:type="pct"/>
        <w:tblLook w:val="04A0" w:firstRow="1" w:lastRow="0" w:firstColumn="1" w:lastColumn="0" w:noHBand="0" w:noVBand="1"/>
      </w:tblPr>
      <w:tblGrid>
        <w:gridCol w:w="6515"/>
        <w:gridCol w:w="3221"/>
      </w:tblGrid>
      <w:tr w:rsidR="00FE48F6" w:rsidRPr="00616EB6" w14:paraId="15F0541F" w14:textId="77777777" w:rsidTr="0003204C">
        <w:tc>
          <w:tcPr>
            <w:tcW w:w="3346" w:type="pct"/>
          </w:tcPr>
          <w:p w14:paraId="60277194" w14:textId="77777777" w:rsidR="00FE48F6" w:rsidRPr="00616EB6" w:rsidRDefault="00FE48F6" w:rsidP="00616EB6">
            <w:pPr>
              <w:pStyle w:val="table"/>
              <w:rPr>
                <w:b/>
              </w:rPr>
            </w:pPr>
            <w:r w:rsidRPr="00616EB6">
              <w:rPr>
                <w:b/>
              </w:rPr>
              <w:t>Time frame and conditions</w:t>
            </w:r>
          </w:p>
        </w:tc>
        <w:tc>
          <w:tcPr>
            <w:tcW w:w="1654" w:type="pct"/>
          </w:tcPr>
          <w:p w14:paraId="643D1234" w14:textId="77777777" w:rsidR="00FE48F6" w:rsidRPr="00616EB6" w:rsidRDefault="00FE48F6" w:rsidP="00616EB6">
            <w:pPr>
              <w:pStyle w:val="table"/>
              <w:rPr>
                <w:b/>
              </w:rPr>
            </w:pPr>
            <w:r w:rsidRPr="00616EB6">
              <w:rPr>
                <w:b/>
              </w:rPr>
              <w:t>Target first-time entry number</w:t>
            </w:r>
          </w:p>
        </w:tc>
      </w:tr>
      <w:tr w:rsidR="00FE48F6" w14:paraId="1E41926F" w14:textId="77777777" w:rsidTr="0003204C">
        <w:tc>
          <w:tcPr>
            <w:tcW w:w="3346" w:type="pct"/>
          </w:tcPr>
          <w:p w14:paraId="3FD7ED12" w14:textId="77777777" w:rsidR="00FE48F6" w:rsidRDefault="00C136A4" w:rsidP="00616EB6">
            <w:pPr>
              <w:pStyle w:val="table"/>
            </w:pPr>
            <w:r>
              <w:t>At the end of</w:t>
            </w:r>
            <w:r w:rsidR="00FE48F6">
              <w:t xml:space="preserve"> three years, assuming Travellers’ Leaving Cert enrolments continue steady, and course completion rates have risen to </w:t>
            </w:r>
            <w:r w:rsidR="00616EB6">
              <w:t>parity</w:t>
            </w:r>
          </w:p>
        </w:tc>
        <w:tc>
          <w:tcPr>
            <w:tcW w:w="1654" w:type="pct"/>
          </w:tcPr>
          <w:p w14:paraId="59AEB423" w14:textId="77777777" w:rsidR="00FE48F6" w:rsidRDefault="00C136A4" w:rsidP="0003204C">
            <w:pPr>
              <w:pStyle w:val="table"/>
              <w:jc w:val="center"/>
            </w:pPr>
            <w:r>
              <w:t>150–200 p.a.</w:t>
            </w:r>
          </w:p>
        </w:tc>
      </w:tr>
      <w:tr w:rsidR="00FE48F6" w14:paraId="2AD91595" w14:textId="77777777" w:rsidTr="0003204C">
        <w:tc>
          <w:tcPr>
            <w:tcW w:w="3346" w:type="pct"/>
          </w:tcPr>
          <w:p w14:paraId="549B7F7E" w14:textId="77777777" w:rsidR="00FE48F6" w:rsidRDefault="00C136A4" w:rsidP="00616EB6">
            <w:pPr>
              <w:pStyle w:val="table"/>
            </w:pPr>
            <w:r>
              <w:t xml:space="preserve">At the end of </w:t>
            </w:r>
            <w:r w:rsidR="00FE48F6">
              <w:t xml:space="preserve">five years, if Leaving Cert </w:t>
            </w:r>
            <w:r w:rsidR="002B176B">
              <w:t>completion rates</w:t>
            </w:r>
            <w:r w:rsidR="00FE48F6">
              <w:t xml:space="preserve"> have doubled</w:t>
            </w:r>
          </w:p>
        </w:tc>
        <w:tc>
          <w:tcPr>
            <w:tcW w:w="1654" w:type="pct"/>
          </w:tcPr>
          <w:p w14:paraId="6C76F670" w14:textId="77777777" w:rsidR="00FE48F6" w:rsidRDefault="00C136A4" w:rsidP="0003204C">
            <w:pPr>
              <w:pStyle w:val="table"/>
              <w:jc w:val="center"/>
            </w:pPr>
            <w:r>
              <w:t>250–300 p.a.</w:t>
            </w:r>
          </w:p>
        </w:tc>
      </w:tr>
      <w:tr w:rsidR="00FE48F6" w14:paraId="16DCBF38" w14:textId="77777777" w:rsidTr="0003204C">
        <w:tc>
          <w:tcPr>
            <w:tcW w:w="3346" w:type="pct"/>
          </w:tcPr>
          <w:p w14:paraId="651DC85F" w14:textId="77777777" w:rsidR="00FE48F6" w:rsidRDefault="00C136A4" w:rsidP="00616EB6">
            <w:pPr>
              <w:pStyle w:val="table"/>
            </w:pPr>
            <w:r>
              <w:t xml:space="preserve">At the end of </w:t>
            </w:r>
            <w:r w:rsidR="00FE48F6">
              <w:t xml:space="preserve">seven years, if Leaving Cert </w:t>
            </w:r>
            <w:r w:rsidR="002B176B">
              <w:t>completion rates</w:t>
            </w:r>
            <w:r w:rsidR="00FE48F6">
              <w:t xml:space="preserve"> have tripled </w:t>
            </w:r>
          </w:p>
        </w:tc>
        <w:tc>
          <w:tcPr>
            <w:tcW w:w="1654" w:type="pct"/>
          </w:tcPr>
          <w:p w14:paraId="429CDD25" w14:textId="77777777" w:rsidR="00FE48F6" w:rsidRDefault="00C136A4" w:rsidP="0003204C">
            <w:pPr>
              <w:pStyle w:val="table"/>
              <w:jc w:val="center"/>
            </w:pPr>
            <w:r>
              <w:t>400–500 p.a.</w:t>
            </w:r>
          </w:p>
        </w:tc>
      </w:tr>
    </w:tbl>
    <w:p w14:paraId="2DA0749A" w14:textId="77777777" w:rsidR="000F7FA6" w:rsidRDefault="0033025E" w:rsidP="00616EB6">
      <w:pPr>
        <w:pStyle w:val="Heading1"/>
      </w:pPr>
      <w:r>
        <w:t>Key prerequisites</w:t>
      </w:r>
      <w:r w:rsidR="00C41E46">
        <w:t xml:space="preserve"> to permit Travellers to achieve entry to HE</w:t>
      </w:r>
    </w:p>
    <w:p w14:paraId="7FA606B1" w14:textId="77777777" w:rsidR="001A2626" w:rsidRDefault="001A2626" w:rsidP="00E967A0">
      <w:pPr>
        <w:pStyle w:val="ListParagraph"/>
        <w:numPr>
          <w:ilvl w:val="0"/>
          <w:numId w:val="13"/>
        </w:numPr>
      </w:pPr>
      <w:r>
        <w:t>Investment in measures to promote enrolment, retention</w:t>
      </w:r>
      <w:r w:rsidR="00FA5769">
        <w:t>,</w:t>
      </w:r>
      <w:r>
        <w:t xml:space="preserve"> </w:t>
      </w:r>
      <w:r w:rsidR="00FA5769">
        <w:t xml:space="preserve">attainment </w:t>
      </w:r>
      <w:r>
        <w:t xml:space="preserve">and completion at post-primary level are essential to ensure this aim. </w:t>
      </w:r>
    </w:p>
    <w:p w14:paraId="1F5BB0D5" w14:textId="77777777" w:rsidR="001A2626" w:rsidRDefault="001A2626" w:rsidP="00E967A0">
      <w:pPr>
        <w:pStyle w:val="ListParagraph"/>
        <w:numPr>
          <w:ilvl w:val="0"/>
          <w:numId w:val="13"/>
        </w:numPr>
      </w:pPr>
      <w:r>
        <w:t xml:space="preserve">Partnerships engaging </w:t>
      </w:r>
      <w:r w:rsidR="00FA5769">
        <w:t xml:space="preserve">HE colleges with </w:t>
      </w:r>
      <w:r>
        <w:t xml:space="preserve">Traveller </w:t>
      </w:r>
      <w:r w:rsidR="00FA5769">
        <w:t xml:space="preserve">organisations and </w:t>
      </w:r>
      <w:r>
        <w:t>communities</w:t>
      </w:r>
      <w:r w:rsidR="00FA5769">
        <w:t xml:space="preserve">, and </w:t>
      </w:r>
      <w:r>
        <w:t>post-primary school</w:t>
      </w:r>
      <w:r w:rsidR="00FA5769">
        <w:t>s</w:t>
      </w:r>
      <w:r>
        <w:t xml:space="preserve"> and in identifying such measures and ensuring their implementation is essential.</w:t>
      </w:r>
    </w:p>
    <w:p w14:paraId="1B9BB106" w14:textId="77777777" w:rsidR="00BF665A" w:rsidRDefault="00BF665A" w:rsidP="00616EB6">
      <w:pPr>
        <w:pStyle w:val="Heading1"/>
      </w:pPr>
    </w:p>
    <w:p w14:paraId="3EE2FE42" w14:textId="77777777" w:rsidR="00A235B7" w:rsidRDefault="006C67A7" w:rsidP="00616EB6">
      <w:pPr>
        <w:pStyle w:val="Heading1"/>
      </w:pPr>
      <w:r>
        <w:t xml:space="preserve">Data </w:t>
      </w:r>
      <w:r w:rsidR="00A235B7">
        <w:t>Sources</w:t>
      </w:r>
    </w:p>
    <w:p w14:paraId="254103F8" w14:textId="77777777" w:rsidR="00BF665A" w:rsidRDefault="00BF665A" w:rsidP="003342A2">
      <w:pPr>
        <w:ind w:left="284" w:hanging="284"/>
      </w:pPr>
      <w:r w:rsidRPr="00BF665A">
        <w:t xml:space="preserve">CSO, </w:t>
      </w:r>
      <w:r w:rsidRPr="003342A2">
        <w:rPr>
          <w:i/>
        </w:rPr>
        <w:t>Census 2016 Profile 8 - Irish Travellers, Ethnicity and Religion,</w:t>
      </w:r>
      <w:r>
        <w:rPr>
          <w:rFonts w:ascii="BookAntiqua-Italic" w:hAnsi="BookAntiqua-Italic" w:cs="BookAntiqua-Italic"/>
          <w:i/>
          <w:iCs/>
          <w:color w:val="80BB6E"/>
          <w:sz w:val="20"/>
          <w:szCs w:val="20"/>
        </w:rPr>
        <w:t xml:space="preserve"> </w:t>
      </w:r>
      <w:r>
        <w:t xml:space="preserve">Table E8014. Available at </w:t>
      </w:r>
      <w:hyperlink r:id="rId10" w:history="1">
        <w:r w:rsidRPr="002107DA">
          <w:rPr>
            <w:rStyle w:val="Hyperlink"/>
          </w:rPr>
          <w:t>https://www.cso.ie/en/csolatestnews/presspages/2017/census2016profile8-irishtravellersethnicityandreligion/</w:t>
        </w:r>
      </w:hyperlink>
      <w:r>
        <w:t xml:space="preserve"> </w:t>
      </w:r>
    </w:p>
    <w:p w14:paraId="4A41FA57" w14:textId="77777777" w:rsidR="001E0A4C" w:rsidRPr="00A235B7" w:rsidRDefault="0061159C" w:rsidP="003342A2">
      <w:pPr>
        <w:pStyle w:val="Default"/>
        <w:widowControl w:val="0"/>
        <w:spacing w:before="80"/>
        <w:ind w:left="284" w:hanging="284"/>
        <w:rPr>
          <w:rFonts w:ascii="Times New Roman" w:hAnsi="Times New Roman" w:cs="Times New Roman"/>
          <w:sz w:val="22"/>
          <w:szCs w:val="22"/>
        </w:rPr>
      </w:pPr>
      <w:r w:rsidRPr="0061159C">
        <w:rPr>
          <w:rFonts w:ascii="Times New Roman" w:hAnsi="Times New Roman" w:cs="Times New Roman"/>
          <w:sz w:val="22"/>
          <w:szCs w:val="22"/>
        </w:rPr>
        <w:t xml:space="preserve">DCYA (2020). </w:t>
      </w:r>
      <w:r w:rsidRPr="0061159C">
        <w:rPr>
          <w:rFonts w:ascii="Times New Roman" w:hAnsi="Times New Roman" w:cs="Times New Roman"/>
          <w:i/>
          <w:sz w:val="22"/>
          <w:szCs w:val="22"/>
        </w:rPr>
        <w:t xml:space="preserve"> Young Travellers in Ireland.  Spotlight#4.</w:t>
      </w:r>
      <w:r w:rsidR="00A235B7">
        <w:rPr>
          <w:rFonts w:ascii="Times New Roman" w:hAnsi="Times New Roman" w:cs="Times New Roman"/>
          <w:i/>
          <w:sz w:val="22"/>
          <w:szCs w:val="22"/>
        </w:rPr>
        <w:t xml:space="preserve"> </w:t>
      </w:r>
      <w:hyperlink r:id="rId11" w:history="1">
        <w:r w:rsidR="00A235B7" w:rsidRPr="00E83FAB">
          <w:rPr>
            <w:rStyle w:val="Hyperlink"/>
            <w:rFonts w:ascii="Times New Roman" w:hAnsi="Times New Roman" w:cs="Times New Roman"/>
            <w:sz w:val="22"/>
            <w:szCs w:val="22"/>
          </w:rPr>
          <w:t>file:///C:/Users/User/Downloads/72732_824dc1d2acaf4e5a93d88e640ae1ef0f.pdf</w:t>
        </w:r>
      </w:hyperlink>
      <w:r w:rsidR="00A235B7">
        <w:rPr>
          <w:rFonts w:ascii="Times New Roman" w:hAnsi="Times New Roman" w:cs="Times New Roman"/>
          <w:sz w:val="22"/>
          <w:szCs w:val="22"/>
        </w:rPr>
        <w:t xml:space="preserve"> </w:t>
      </w:r>
    </w:p>
    <w:p w14:paraId="602DACC0" w14:textId="77777777" w:rsidR="003342A2" w:rsidRDefault="0061159C" w:rsidP="003342A2">
      <w:pPr>
        <w:ind w:left="284" w:hanging="284"/>
        <w:rPr>
          <w:color w:val="000000"/>
          <w:lang w:eastAsia="en-IE"/>
        </w:rPr>
      </w:pPr>
      <w:r w:rsidRPr="003342A2">
        <w:t>DES (2017).</w:t>
      </w:r>
      <w:r w:rsidRPr="003342A2">
        <w:rPr>
          <w:i/>
        </w:rPr>
        <w:t xml:space="preserve"> Number of Pupils who are Members of the Traveller Community</w:t>
      </w:r>
      <w:r w:rsidR="00B574F7" w:rsidRPr="003342A2">
        <w:t xml:space="preserve">. Statistical Reports, </w:t>
      </w:r>
      <w:hyperlink r:id="rId12" w:history="1">
        <w:r w:rsidR="003342A2" w:rsidRPr="003342A2">
          <w:rPr>
            <w:rStyle w:val="Hyperlink"/>
            <w:rFonts w:eastAsia="Times New Roman" w:cs="Times New Roman"/>
            <w:lang w:eastAsia="en-IE"/>
          </w:rPr>
          <w:t>https://www.gov.ie/en/collection/other-statistical-reports/</w:t>
        </w:r>
      </w:hyperlink>
      <w:r w:rsidR="003342A2" w:rsidRPr="003342A2">
        <w:rPr>
          <w:color w:val="000000"/>
          <w:lang w:eastAsia="en-IE"/>
        </w:rPr>
        <w:t xml:space="preserve"> </w:t>
      </w:r>
    </w:p>
    <w:p w14:paraId="53493716" w14:textId="77777777" w:rsidR="006B04DC" w:rsidRPr="006B04DC" w:rsidRDefault="006B04DC" w:rsidP="006B04DC">
      <w:r w:rsidRPr="006B04DC">
        <w:t xml:space="preserve">DES (2019). </w:t>
      </w:r>
      <w:r w:rsidRPr="006B04DC">
        <w:rPr>
          <w:i/>
        </w:rPr>
        <w:t>Action Plan for Increasing Traveller Participation in Higher Education</w:t>
      </w:r>
      <w:r>
        <w:t xml:space="preserve"> 2019-2021. </w:t>
      </w:r>
      <w:hyperlink r:id="rId13" w:history="1">
        <w:r w:rsidRPr="002107DA">
          <w:rPr>
            <w:rStyle w:val="Hyperlink"/>
          </w:rPr>
          <w:t>file:///C:/Users/User/Downloads/79100_1b57b3ea-7a1a-4106-a9e7-82d8eea21df4%20(1).pdf</w:t>
        </w:r>
      </w:hyperlink>
      <w:r>
        <w:t xml:space="preserve"> </w:t>
      </w:r>
    </w:p>
    <w:p w14:paraId="3AD33211" w14:textId="77777777" w:rsidR="00332ABC" w:rsidRPr="00F11946" w:rsidRDefault="00332ABC" w:rsidP="003342A2">
      <w:pPr>
        <w:ind w:left="284" w:hanging="284"/>
      </w:pPr>
      <w:r>
        <w:t xml:space="preserve">HEA (2019). </w:t>
      </w:r>
      <w:r w:rsidRPr="003342A2">
        <w:rPr>
          <w:i/>
        </w:rPr>
        <w:t>Action Plan for Increasing Traveller Participation in Higher Education 2019-2021.</w:t>
      </w:r>
      <w:r>
        <w:t xml:space="preserve"> </w:t>
      </w:r>
      <w:hyperlink r:id="rId14" w:history="1">
        <w:r w:rsidR="003342A2" w:rsidRPr="002107DA">
          <w:rPr>
            <w:rStyle w:val="Hyperlink"/>
          </w:rPr>
          <w:t>file:///C:/Users/User/Downloads/79100_1b57b3ea-7a1a-4106-a9e7-82d8eea21df4.pdf</w:t>
        </w:r>
      </w:hyperlink>
      <w:r w:rsidR="003342A2">
        <w:t xml:space="preserve"> </w:t>
      </w:r>
    </w:p>
    <w:p w14:paraId="53347F4E" w14:textId="77777777" w:rsidR="009B4DDE" w:rsidRDefault="009B4DDE" w:rsidP="009B4DDE">
      <w:pPr>
        <w:ind w:left="284" w:hanging="284"/>
      </w:pPr>
      <w:r w:rsidRPr="00495D8B">
        <w:t xml:space="preserve">HEA </w:t>
      </w:r>
      <w:r>
        <w:t>(</w:t>
      </w:r>
      <w:r w:rsidRPr="00495D8B">
        <w:t>202</w:t>
      </w:r>
      <w:r>
        <w:t>1).</w:t>
      </w:r>
      <w:r w:rsidRPr="00495D8B">
        <w:t xml:space="preserve"> Higher Education – Key Facts and Figures 2020/2021. Table 4</w:t>
      </w:r>
      <w:r>
        <w:t xml:space="preserve"> </w:t>
      </w:r>
      <w:hyperlink r:id="rId15" w:anchor=":~:text=Total%20Enrolments%207%2DYear%20Trend&amp;text=Total%20enrolments%20increased%2017.4%25%20between,in%20total%20in%202020%2F21.&amp;text=HEA's%20Head%20of%20Access%20Policy,availing%20of%20alternative%20entry%20routes" w:history="1">
        <w:r w:rsidRPr="004C1574">
          <w:rPr>
            <w:rStyle w:val="Hyperlink"/>
          </w:rPr>
          <w:t>https://hea.ie/2021/10/11/higher-education-key-facts-and-figures-2020-2021/#:~:text=Total%20Enrolments%207%2DYear%20Trend&amp;text=Total%20enrolments%20increased%2017.4%25%20between,in%20total%20in%202020%2F21.&amp;text=HEA's%20Head%20of%20Access%20Policy,availing%20of%20alternative%20entry%20routes</w:t>
        </w:r>
      </w:hyperlink>
      <w:r w:rsidRPr="004C1574">
        <w:t xml:space="preserve"> </w:t>
      </w:r>
    </w:p>
    <w:p w14:paraId="2004B7F8" w14:textId="77777777" w:rsidR="009B4DDE" w:rsidRPr="004C1574" w:rsidRDefault="009B4DDE" w:rsidP="009B4DDE">
      <w:pPr>
        <w:ind w:left="284" w:hanging="284"/>
      </w:pPr>
      <w:r>
        <w:tab/>
        <w:t xml:space="preserve">Also </w:t>
      </w:r>
      <w:hyperlink r:id="rId16" w:history="1">
        <w:r w:rsidRPr="002107DA">
          <w:rPr>
            <w:rStyle w:val="Hyperlink"/>
          </w:rPr>
          <w:t>https://hea.ie/policy/access-policy/access-statistics-summary/</w:t>
        </w:r>
      </w:hyperlink>
      <w:r>
        <w:t xml:space="preserve"> </w:t>
      </w:r>
    </w:p>
    <w:p w14:paraId="70125665" w14:textId="77777777" w:rsidR="00332ABC" w:rsidRPr="00F11946" w:rsidRDefault="001A2626" w:rsidP="003342A2">
      <w:pPr>
        <w:ind w:left="284" w:hanging="284"/>
      </w:pPr>
      <w:r w:rsidRPr="006C67A7">
        <w:rPr>
          <w:rFonts w:cs="Times New Roman"/>
          <w:i/>
        </w:rPr>
        <w:t>The Irish Times,</w:t>
      </w:r>
      <w:r>
        <w:rPr>
          <w:rFonts w:cs="Times New Roman"/>
        </w:rPr>
        <w:t xml:space="preserve"> </w:t>
      </w:r>
      <w:r w:rsidRPr="0061159C">
        <w:rPr>
          <w:rFonts w:cs="Times New Roman"/>
        </w:rPr>
        <w:t>Fri</w:t>
      </w:r>
      <w:r w:rsidR="006C67A7">
        <w:rPr>
          <w:rFonts w:cs="Times New Roman"/>
        </w:rPr>
        <w:t>day</w:t>
      </w:r>
      <w:r w:rsidRPr="0061159C">
        <w:rPr>
          <w:rFonts w:cs="Times New Roman"/>
        </w:rPr>
        <w:t>, Jan 7, 2022</w:t>
      </w:r>
      <w:r w:rsidR="006C67A7">
        <w:rPr>
          <w:rFonts w:cs="Times New Roman"/>
        </w:rPr>
        <w:t>.</w:t>
      </w:r>
      <w:r>
        <w:rPr>
          <w:rFonts w:cs="Times New Roman"/>
        </w:rPr>
        <w:t xml:space="preserve"> </w:t>
      </w:r>
      <w:hyperlink r:id="rId17" w:history="1">
        <w:r w:rsidRPr="00F63774">
          <w:rPr>
            <w:rStyle w:val="Hyperlink"/>
            <w:rFonts w:cs="Times New Roman"/>
          </w:rPr>
          <w:t>https://www.irishtimes.com/news/education/students-in-fee-charging-schools-more-likely-to-progress-to-courses-with-high-points-1.4770522</w:t>
        </w:r>
      </w:hyperlink>
      <w:r w:rsidR="001E0A4C" w:rsidRPr="0061159C">
        <w:rPr>
          <w:rFonts w:cs="Times New Roman"/>
        </w:rPr>
        <w:t xml:space="preserve"> </w:t>
      </w:r>
    </w:p>
    <w:sectPr w:rsidR="00332ABC" w:rsidRPr="00F11946" w:rsidSect="00637A95">
      <w:footerReference w:type="default" r:id="rId18"/>
      <w:pgSz w:w="11906" w:h="16838"/>
      <w:pgMar w:top="1135" w:right="1080" w:bottom="1276" w:left="1080" w:header="73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7B286" w14:textId="77777777" w:rsidR="0034748B" w:rsidRDefault="0034748B" w:rsidP="00E967A0">
      <w:r>
        <w:separator/>
      </w:r>
    </w:p>
  </w:endnote>
  <w:endnote w:type="continuationSeparator" w:id="0">
    <w:p w14:paraId="546B83C6" w14:textId="77777777" w:rsidR="0034748B" w:rsidRDefault="0034748B" w:rsidP="00E9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BookAntiqua-Italic">
    <w:altName w:val="Cambria"/>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CC9A4" w14:textId="77777777" w:rsidR="00637A95" w:rsidRDefault="00637A95" w:rsidP="00637A95">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2AA5F" w14:textId="77777777" w:rsidR="0034748B" w:rsidRDefault="0034748B" w:rsidP="00E967A0">
      <w:r>
        <w:separator/>
      </w:r>
    </w:p>
  </w:footnote>
  <w:footnote w:type="continuationSeparator" w:id="0">
    <w:p w14:paraId="5B42A966" w14:textId="77777777" w:rsidR="0034748B" w:rsidRDefault="0034748B" w:rsidP="00E96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1F5D40"/>
    <w:multiLevelType w:val="hybridMultilevel"/>
    <w:tmpl w:val="B185F7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CB0AC3E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AA272A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4F86B5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CD4E79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AC693B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36070C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1524A4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2B6962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9E8F7D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BC273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030F86"/>
    <w:multiLevelType w:val="hybridMultilevel"/>
    <w:tmpl w:val="71AEC29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B1453AC"/>
    <w:multiLevelType w:val="hybridMultilevel"/>
    <w:tmpl w:val="8E4809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02E55CB"/>
    <w:multiLevelType w:val="hybridMultilevel"/>
    <w:tmpl w:val="126AD2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5DE24A3"/>
    <w:multiLevelType w:val="hybridMultilevel"/>
    <w:tmpl w:val="60E47A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68B2435A"/>
    <w:multiLevelType w:val="hybridMultilevel"/>
    <w:tmpl w:val="474C98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6B6D072D"/>
    <w:multiLevelType w:val="hybridMultilevel"/>
    <w:tmpl w:val="F12E159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6DF942C2"/>
    <w:multiLevelType w:val="hybridMultilevel"/>
    <w:tmpl w:val="B132534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2"/>
  </w:num>
  <w:num w:numId="2">
    <w:abstractNumId w:val="17"/>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3"/>
  </w:num>
  <w:num w:numId="14">
    <w:abstractNumId w:val="14"/>
  </w:num>
  <w:num w:numId="15">
    <w:abstractNumId w:val="16"/>
  </w:num>
  <w:num w:numId="16">
    <w:abstractNumId w:val="0"/>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240"/>
    <w:rsid w:val="00013211"/>
    <w:rsid w:val="000212E9"/>
    <w:rsid w:val="000314D2"/>
    <w:rsid w:val="00031795"/>
    <w:rsid w:val="0003204C"/>
    <w:rsid w:val="0003408B"/>
    <w:rsid w:val="00075D94"/>
    <w:rsid w:val="000866E4"/>
    <w:rsid w:val="000B11B4"/>
    <w:rsid w:val="000C22E9"/>
    <w:rsid w:val="000F7FA6"/>
    <w:rsid w:val="00100986"/>
    <w:rsid w:val="00127910"/>
    <w:rsid w:val="001A2626"/>
    <w:rsid w:val="001B7A28"/>
    <w:rsid w:val="001C2993"/>
    <w:rsid w:val="001E0A4C"/>
    <w:rsid w:val="00232015"/>
    <w:rsid w:val="0023737B"/>
    <w:rsid w:val="0025435A"/>
    <w:rsid w:val="00277F10"/>
    <w:rsid w:val="00281917"/>
    <w:rsid w:val="00283EDF"/>
    <w:rsid w:val="00290F50"/>
    <w:rsid w:val="00297736"/>
    <w:rsid w:val="002B176B"/>
    <w:rsid w:val="002E669E"/>
    <w:rsid w:val="002F10FE"/>
    <w:rsid w:val="002F4682"/>
    <w:rsid w:val="00320A23"/>
    <w:rsid w:val="0033025E"/>
    <w:rsid w:val="00332ABC"/>
    <w:rsid w:val="003342A2"/>
    <w:rsid w:val="0034748B"/>
    <w:rsid w:val="00377036"/>
    <w:rsid w:val="003955EA"/>
    <w:rsid w:val="003978A6"/>
    <w:rsid w:val="003A5716"/>
    <w:rsid w:val="003E059E"/>
    <w:rsid w:val="003F0FBB"/>
    <w:rsid w:val="003F3111"/>
    <w:rsid w:val="00414FD2"/>
    <w:rsid w:val="0047029C"/>
    <w:rsid w:val="0048558E"/>
    <w:rsid w:val="00491590"/>
    <w:rsid w:val="00495DD9"/>
    <w:rsid w:val="004A11EC"/>
    <w:rsid w:val="004B1390"/>
    <w:rsid w:val="004B2195"/>
    <w:rsid w:val="004B53E6"/>
    <w:rsid w:val="004D0FC2"/>
    <w:rsid w:val="004D1EE5"/>
    <w:rsid w:val="005030C6"/>
    <w:rsid w:val="0053736A"/>
    <w:rsid w:val="0054329F"/>
    <w:rsid w:val="005C42F5"/>
    <w:rsid w:val="005F081F"/>
    <w:rsid w:val="0061159C"/>
    <w:rsid w:val="00616EB6"/>
    <w:rsid w:val="00637A95"/>
    <w:rsid w:val="00670221"/>
    <w:rsid w:val="00672637"/>
    <w:rsid w:val="00690240"/>
    <w:rsid w:val="006A3688"/>
    <w:rsid w:val="006A727F"/>
    <w:rsid w:val="006B04DC"/>
    <w:rsid w:val="006C67A7"/>
    <w:rsid w:val="006D559C"/>
    <w:rsid w:val="006E62A9"/>
    <w:rsid w:val="006F42E4"/>
    <w:rsid w:val="00700238"/>
    <w:rsid w:val="00711AB8"/>
    <w:rsid w:val="00714806"/>
    <w:rsid w:val="00722723"/>
    <w:rsid w:val="00732F75"/>
    <w:rsid w:val="00774F06"/>
    <w:rsid w:val="0078121E"/>
    <w:rsid w:val="00787445"/>
    <w:rsid w:val="007A5AFE"/>
    <w:rsid w:val="007B0860"/>
    <w:rsid w:val="007F6E38"/>
    <w:rsid w:val="00821EB0"/>
    <w:rsid w:val="008A4728"/>
    <w:rsid w:val="008D51BF"/>
    <w:rsid w:val="008E69DF"/>
    <w:rsid w:val="008E7266"/>
    <w:rsid w:val="008F3D29"/>
    <w:rsid w:val="009253F1"/>
    <w:rsid w:val="00944E20"/>
    <w:rsid w:val="00984CE2"/>
    <w:rsid w:val="009B4DDE"/>
    <w:rsid w:val="009C3456"/>
    <w:rsid w:val="00A235B7"/>
    <w:rsid w:val="00A31EE8"/>
    <w:rsid w:val="00A3257A"/>
    <w:rsid w:val="00A82445"/>
    <w:rsid w:val="00A927EA"/>
    <w:rsid w:val="00AA1F01"/>
    <w:rsid w:val="00AB3F57"/>
    <w:rsid w:val="00B1228A"/>
    <w:rsid w:val="00B1643F"/>
    <w:rsid w:val="00B37B86"/>
    <w:rsid w:val="00B574F7"/>
    <w:rsid w:val="00B75895"/>
    <w:rsid w:val="00BD279C"/>
    <w:rsid w:val="00BD3B20"/>
    <w:rsid w:val="00BF001E"/>
    <w:rsid w:val="00BF665A"/>
    <w:rsid w:val="00C136A4"/>
    <w:rsid w:val="00C37524"/>
    <w:rsid w:val="00C41E46"/>
    <w:rsid w:val="00CB6687"/>
    <w:rsid w:val="00CE2F3D"/>
    <w:rsid w:val="00CF26D4"/>
    <w:rsid w:val="00CF33CE"/>
    <w:rsid w:val="00D720FD"/>
    <w:rsid w:val="00D7558C"/>
    <w:rsid w:val="00D8587D"/>
    <w:rsid w:val="00D87B21"/>
    <w:rsid w:val="00DA5074"/>
    <w:rsid w:val="00DA6AB3"/>
    <w:rsid w:val="00DD5C4E"/>
    <w:rsid w:val="00E04D6F"/>
    <w:rsid w:val="00E13624"/>
    <w:rsid w:val="00E22D91"/>
    <w:rsid w:val="00E30540"/>
    <w:rsid w:val="00E720C2"/>
    <w:rsid w:val="00E834D7"/>
    <w:rsid w:val="00E91329"/>
    <w:rsid w:val="00E967A0"/>
    <w:rsid w:val="00E97317"/>
    <w:rsid w:val="00EC3551"/>
    <w:rsid w:val="00EF3A51"/>
    <w:rsid w:val="00F11946"/>
    <w:rsid w:val="00F12F55"/>
    <w:rsid w:val="00F146E2"/>
    <w:rsid w:val="00F366E6"/>
    <w:rsid w:val="00F900E3"/>
    <w:rsid w:val="00FA01FF"/>
    <w:rsid w:val="00FA5769"/>
    <w:rsid w:val="00FB3EC5"/>
    <w:rsid w:val="00FC2BCC"/>
    <w:rsid w:val="00FE48F6"/>
    <w:rsid w:val="00FF0C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1615C"/>
  <w15:chartTrackingRefBased/>
  <w15:docId w15:val="{14F65824-D3F6-4E2C-871C-022ABD802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before="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7A0"/>
    <w:pPr>
      <w:spacing w:before="120"/>
    </w:pPr>
    <w:rPr>
      <w:rFonts w:ascii="Times New Roman" w:hAnsi="Times New Roman"/>
    </w:rPr>
  </w:style>
  <w:style w:type="paragraph" w:styleId="Heading1">
    <w:name w:val="heading 1"/>
    <w:basedOn w:val="Normal"/>
    <w:next w:val="Normal"/>
    <w:link w:val="Heading1Char"/>
    <w:uiPriority w:val="9"/>
    <w:qFormat/>
    <w:rsid w:val="00616EB6"/>
    <w:pPr>
      <w:keepNext/>
      <w:widowControl w:val="0"/>
      <w:outlineLvl w:val="0"/>
    </w:pPr>
    <w:rPr>
      <w:b/>
    </w:rPr>
  </w:style>
  <w:style w:type="paragraph" w:styleId="Heading2">
    <w:name w:val="heading 2"/>
    <w:basedOn w:val="Normal"/>
    <w:next w:val="Normal"/>
    <w:link w:val="Heading2Char"/>
    <w:uiPriority w:val="9"/>
    <w:unhideWhenUsed/>
    <w:qFormat/>
    <w:rsid w:val="00637A95"/>
    <w:pPr>
      <w:keepNext/>
      <w:widowControl w:val="0"/>
      <w:spacing w:after="40"/>
      <w:jc w:val="center"/>
      <w:outlineLvl w:val="1"/>
    </w:pPr>
    <w:rPr>
      <w:b/>
      <w:i/>
    </w:rPr>
  </w:style>
  <w:style w:type="paragraph" w:styleId="Heading3">
    <w:name w:val="heading 3"/>
    <w:basedOn w:val="Normal"/>
    <w:next w:val="Normal"/>
    <w:link w:val="Heading3Char"/>
    <w:uiPriority w:val="9"/>
    <w:unhideWhenUsed/>
    <w:qFormat/>
    <w:rsid w:val="00E720C2"/>
    <w:pPr>
      <w:outlineLvl w:val="2"/>
    </w:pPr>
    <w:rPr>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0240"/>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0240"/>
    <w:rPr>
      <w:color w:val="0563C1"/>
      <w:u w:val="single"/>
    </w:rPr>
  </w:style>
  <w:style w:type="paragraph" w:customStyle="1" w:styleId="Default">
    <w:name w:val="Default"/>
    <w:rsid w:val="00690240"/>
    <w:pPr>
      <w:autoSpaceDE w:val="0"/>
      <w:autoSpaceDN w:val="0"/>
      <w:adjustRightInd w:val="0"/>
      <w:spacing w:before="0"/>
    </w:pPr>
    <w:rPr>
      <w:rFonts w:ascii="Gill Sans MT" w:hAnsi="Gill Sans MT" w:cs="Gill Sans MT"/>
      <w:color w:val="000000"/>
      <w:sz w:val="24"/>
      <w:szCs w:val="24"/>
    </w:rPr>
  </w:style>
  <w:style w:type="character" w:customStyle="1" w:styleId="Heading2Char">
    <w:name w:val="Heading 2 Char"/>
    <w:basedOn w:val="DefaultParagraphFont"/>
    <w:link w:val="Heading2"/>
    <w:uiPriority w:val="9"/>
    <w:rsid w:val="00637A95"/>
    <w:rPr>
      <w:rFonts w:ascii="Times New Roman" w:hAnsi="Times New Roman"/>
      <w:b/>
      <w:i/>
    </w:rPr>
  </w:style>
  <w:style w:type="character" w:customStyle="1" w:styleId="Heading1Char">
    <w:name w:val="Heading 1 Char"/>
    <w:basedOn w:val="DefaultParagraphFont"/>
    <w:link w:val="Heading1"/>
    <w:uiPriority w:val="9"/>
    <w:rsid w:val="00616EB6"/>
    <w:rPr>
      <w:rFonts w:ascii="Times New Roman" w:hAnsi="Times New Roman"/>
      <w:b/>
    </w:rPr>
  </w:style>
  <w:style w:type="paragraph" w:styleId="NoSpacing">
    <w:name w:val="No Spacing"/>
    <w:uiPriority w:val="1"/>
    <w:qFormat/>
    <w:rsid w:val="00BD279C"/>
    <w:pPr>
      <w:spacing w:before="0"/>
    </w:pPr>
    <w:rPr>
      <w:rFonts w:ascii="Times New Roman" w:hAnsi="Times New Roman"/>
    </w:rPr>
  </w:style>
  <w:style w:type="paragraph" w:styleId="ListParagraph">
    <w:name w:val="List Paragraph"/>
    <w:basedOn w:val="Normal"/>
    <w:uiPriority w:val="34"/>
    <w:qFormat/>
    <w:rsid w:val="00944E20"/>
    <w:pPr>
      <w:ind w:left="720"/>
      <w:contextualSpacing/>
    </w:pPr>
  </w:style>
  <w:style w:type="paragraph" w:styleId="Header">
    <w:name w:val="header"/>
    <w:basedOn w:val="Normal"/>
    <w:link w:val="HeaderChar"/>
    <w:uiPriority w:val="99"/>
    <w:unhideWhenUsed/>
    <w:rsid w:val="00E720C2"/>
    <w:pPr>
      <w:tabs>
        <w:tab w:val="center" w:pos="4513"/>
        <w:tab w:val="right" w:pos="9026"/>
      </w:tabs>
      <w:spacing w:before="0"/>
    </w:pPr>
  </w:style>
  <w:style w:type="character" w:customStyle="1" w:styleId="HeaderChar">
    <w:name w:val="Header Char"/>
    <w:basedOn w:val="DefaultParagraphFont"/>
    <w:link w:val="Header"/>
    <w:uiPriority w:val="99"/>
    <w:rsid w:val="00E720C2"/>
    <w:rPr>
      <w:rFonts w:ascii="Times New Roman" w:hAnsi="Times New Roman"/>
    </w:rPr>
  </w:style>
  <w:style w:type="paragraph" w:styleId="Footer">
    <w:name w:val="footer"/>
    <w:basedOn w:val="Normal"/>
    <w:link w:val="FooterChar"/>
    <w:uiPriority w:val="99"/>
    <w:unhideWhenUsed/>
    <w:rsid w:val="00E720C2"/>
    <w:pPr>
      <w:tabs>
        <w:tab w:val="center" w:pos="4513"/>
        <w:tab w:val="right" w:pos="9026"/>
      </w:tabs>
      <w:spacing w:before="0"/>
    </w:pPr>
  </w:style>
  <w:style w:type="character" w:customStyle="1" w:styleId="FooterChar">
    <w:name w:val="Footer Char"/>
    <w:basedOn w:val="DefaultParagraphFont"/>
    <w:link w:val="Footer"/>
    <w:uiPriority w:val="99"/>
    <w:rsid w:val="00E720C2"/>
    <w:rPr>
      <w:rFonts w:ascii="Times New Roman" w:hAnsi="Times New Roman"/>
    </w:rPr>
  </w:style>
  <w:style w:type="character" w:customStyle="1" w:styleId="Heading3Char">
    <w:name w:val="Heading 3 Char"/>
    <w:basedOn w:val="DefaultParagraphFont"/>
    <w:link w:val="Heading3"/>
    <w:uiPriority w:val="9"/>
    <w:rsid w:val="00E720C2"/>
    <w:rPr>
      <w:rFonts w:ascii="Times New Roman" w:hAnsi="Times New Roman"/>
      <w:i/>
      <w:u w:val="single"/>
    </w:rPr>
  </w:style>
  <w:style w:type="character" w:styleId="UnresolvedMention">
    <w:name w:val="Unresolved Mention"/>
    <w:basedOn w:val="DefaultParagraphFont"/>
    <w:uiPriority w:val="99"/>
    <w:semiHidden/>
    <w:unhideWhenUsed/>
    <w:rsid w:val="009C3456"/>
    <w:rPr>
      <w:color w:val="605E5C"/>
      <w:shd w:val="clear" w:color="auto" w:fill="E1DFDD"/>
    </w:rPr>
  </w:style>
  <w:style w:type="paragraph" w:customStyle="1" w:styleId="source">
    <w:name w:val="source"/>
    <w:basedOn w:val="NoSpacing"/>
    <w:qFormat/>
    <w:rsid w:val="004B2195"/>
    <w:pPr>
      <w:jc w:val="right"/>
    </w:pPr>
    <w:rPr>
      <w:i/>
    </w:rPr>
  </w:style>
  <w:style w:type="character" w:styleId="FollowedHyperlink">
    <w:name w:val="FollowedHyperlink"/>
    <w:basedOn w:val="DefaultParagraphFont"/>
    <w:uiPriority w:val="99"/>
    <w:semiHidden/>
    <w:unhideWhenUsed/>
    <w:rsid w:val="00A235B7"/>
    <w:rPr>
      <w:color w:val="954F72" w:themeColor="followedHyperlink"/>
      <w:u w:val="single"/>
    </w:rPr>
  </w:style>
  <w:style w:type="paragraph" w:customStyle="1" w:styleId="table">
    <w:name w:val="table"/>
    <w:basedOn w:val="Normal"/>
    <w:qFormat/>
    <w:rsid w:val="00616EB6"/>
    <w:pPr>
      <w:spacing w:before="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9734">
      <w:bodyDiv w:val="1"/>
      <w:marLeft w:val="0"/>
      <w:marRight w:val="0"/>
      <w:marTop w:val="0"/>
      <w:marBottom w:val="0"/>
      <w:divBdr>
        <w:top w:val="none" w:sz="0" w:space="0" w:color="auto"/>
        <w:left w:val="none" w:sz="0" w:space="0" w:color="auto"/>
        <w:bottom w:val="none" w:sz="0" w:space="0" w:color="auto"/>
        <w:right w:val="none" w:sz="0" w:space="0" w:color="auto"/>
      </w:divBdr>
    </w:div>
    <w:div w:id="29768903">
      <w:bodyDiv w:val="1"/>
      <w:marLeft w:val="0"/>
      <w:marRight w:val="0"/>
      <w:marTop w:val="0"/>
      <w:marBottom w:val="0"/>
      <w:divBdr>
        <w:top w:val="none" w:sz="0" w:space="0" w:color="auto"/>
        <w:left w:val="none" w:sz="0" w:space="0" w:color="auto"/>
        <w:bottom w:val="none" w:sz="0" w:space="0" w:color="auto"/>
        <w:right w:val="none" w:sz="0" w:space="0" w:color="auto"/>
      </w:divBdr>
    </w:div>
    <w:div w:id="394087126">
      <w:bodyDiv w:val="1"/>
      <w:marLeft w:val="0"/>
      <w:marRight w:val="0"/>
      <w:marTop w:val="0"/>
      <w:marBottom w:val="0"/>
      <w:divBdr>
        <w:top w:val="none" w:sz="0" w:space="0" w:color="auto"/>
        <w:left w:val="none" w:sz="0" w:space="0" w:color="auto"/>
        <w:bottom w:val="none" w:sz="0" w:space="0" w:color="auto"/>
        <w:right w:val="none" w:sz="0" w:space="0" w:color="auto"/>
      </w:divBdr>
    </w:div>
    <w:div w:id="456684672">
      <w:bodyDiv w:val="1"/>
      <w:marLeft w:val="0"/>
      <w:marRight w:val="0"/>
      <w:marTop w:val="0"/>
      <w:marBottom w:val="0"/>
      <w:divBdr>
        <w:top w:val="none" w:sz="0" w:space="0" w:color="auto"/>
        <w:left w:val="none" w:sz="0" w:space="0" w:color="auto"/>
        <w:bottom w:val="none" w:sz="0" w:space="0" w:color="auto"/>
        <w:right w:val="none" w:sz="0" w:space="0" w:color="auto"/>
      </w:divBdr>
    </w:div>
    <w:div w:id="534347185">
      <w:bodyDiv w:val="1"/>
      <w:marLeft w:val="0"/>
      <w:marRight w:val="0"/>
      <w:marTop w:val="0"/>
      <w:marBottom w:val="0"/>
      <w:divBdr>
        <w:top w:val="none" w:sz="0" w:space="0" w:color="auto"/>
        <w:left w:val="none" w:sz="0" w:space="0" w:color="auto"/>
        <w:bottom w:val="none" w:sz="0" w:space="0" w:color="auto"/>
        <w:right w:val="none" w:sz="0" w:space="0" w:color="auto"/>
      </w:divBdr>
    </w:div>
    <w:div w:id="717819018">
      <w:bodyDiv w:val="1"/>
      <w:marLeft w:val="0"/>
      <w:marRight w:val="0"/>
      <w:marTop w:val="0"/>
      <w:marBottom w:val="0"/>
      <w:divBdr>
        <w:top w:val="none" w:sz="0" w:space="0" w:color="auto"/>
        <w:left w:val="none" w:sz="0" w:space="0" w:color="auto"/>
        <w:bottom w:val="none" w:sz="0" w:space="0" w:color="auto"/>
        <w:right w:val="none" w:sz="0" w:space="0" w:color="auto"/>
      </w:divBdr>
    </w:div>
    <w:div w:id="755980943">
      <w:bodyDiv w:val="1"/>
      <w:marLeft w:val="0"/>
      <w:marRight w:val="0"/>
      <w:marTop w:val="0"/>
      <w:marBottom w:val="0"/>
      <w:divBdr>
        <w:top w:val="none" w:sz="0" w:space="0" w:color="auto"/>
        <w:left w:val="none" w:sz="0" w:space="0" w:color="auto"/>
        <w:bottom w:val="none" w:sz="0" w:space="0" w:color="auto"/>
        <w:right w:val="none" w:sz="0" w:space="0" w:color="auto"/>
      </w:divBdr>
    </w:div>
    <w:div w:id="828210683">
      <w:bodyDiv w:val="1"/>
      <w:marLeft w:val="0"/>
      <w:marRight w:val="0"/>
      <w:marTop w:val="0"/>
      <w:marBottom w:val="0"/>
      <w:divBdr>
        <w:top w:val="none" w:sz="0" w:space="0" w:color="auto"/>
        <w:left w:val="none" w:sz="0" w:space="0" w:color="auto"/>
        <w:bottom w:val="none" w:sz="0" w:space="0" w:color="auto"/>
        <w:right w:val="none" w:sz="0" w:space="0" w:color="auto"/>
      </w:divBdr>
    </w:div>
    <w:div w:id="840312665">
      <w:bodyDiv w:val="1"/>
      <w:marLeft w:val="0"/>
      <w:marRight w:val="0"/>
      <w:marTop w:val="0"/>
      <w:marBottom w:val="0"/>
      <w:divBdr>
        <w:top w:val="none" w:sz="0" w:space="0" w:color="auto"/>
        <w:left w:val="none" w:sz="0" w:space="0" w:color="auto"/>
        <w:bottom w:val="none" w:sz="0" w:space="0" w:color="auto"/>
        <w:right w:val="none" w:sz="0" w:space="0" w:color="auto"/>
      </w:divBdr>
    </w:div>
    <w:div w:id="879971593">
      <w:bodyDiv w:val="1"/>
      <w:marLeft w:val="0"/>
      <w:marRight w:val="0"/>
      <w:marTop w:val="0"/>
      <w:marBottom w:val="0"/>
      <w:divBdr>
        <w:top w:val="none" w:sz="0" w:space="0" w:color="auto"/>
        <w:left w:val="none" w:sz="0" w:space="0" w:color="auto"/>
        <w:bottom w:val="none" w:sz="0" w:space="0" w:color="auto"/>
        <w:right w:val="none" w:sz="0" w:space="0" w:color="auto"/>
      </w:divBdr>
    </w:div>
    <w:div w:id="963273785">
      <w:bodyDiv w:val="1"/>
      <w:marLeft w:val="0"/>
      <w:marRight w:val="0"/>
      <w:marTop w:val="0"/>
      <w:marBottom w:val="0"/>
      <w:divBdr>
        <w:top w:val="none" w:sz="0" w:space="0" w:color="auto"/>
        <w:left w:val="none" w:sz="0" w:space="0" w:color="auto"/>
        <w:bottom w:val="none" w:sz="0" w:space="0" w:color="auto"/>
        <w:right w:val="none" w:sz="0" w:space="0" w:color="auto"/>
      </w:divBdr>
    </w:div>
    <w:div w:id="1434127893">
      <w:bodyDiv w:val="1"/>
      <w:marLeft w:val="0"/>
      <w:marRight w:val="0"/>
      <w:marTop w:val="0"/>
      <w:marBottom w:val="0"/>
      <w:divBdr>
        <w:top w:val="none" w:sz="0" w:space="0" w:color="auto"/>
        <w:left w:val="none" w:sz="0" w:space="0" w:color="auto"/>
        <w:bottom w:val="none" w:sz="0" w:space="0" w:color="auto"/>
        <w:right w:val="none" w:sz="0" w:space="0" w:color="auto"/>
      </w:divBdr>
    </w:div>
    <w:div w:id="147876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C:/Users/User/Downloads/79100_1b57b3ea-7a1a-4106-a9e7-82d8eea21df4%20(1).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ie/en/collection/other-statistical-reports/" TargetMode="External"/><Relationship Id="rId17" Type="http://schemas.openxmlformats.org/officeDocument/2006/relationships/hyperlink" Target="https://www.irishtimes.com/news/education/students-in-fee-charging-schools-more-likely-to-progress-to-courses-with-high-points-1.4770522" TargetMode="External"/><Relationship Id="rId2" Type="http://schemas.openxmlformats.org/officeDocument/2006/relationships/styles" Target="styles.xml"/><Relationship Id="rId16" Type="http://schemas.openxmlformats.org/officeDocument/2006/relationships/hyperlink" Target="https://hea.ie/policy/access-policy/access-statistics-summar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ser/Downloads/72732_824dc1d2acaf4e5a93d88e640ae1ef0f.pdf" TargetMode="External"/><Relationship Id="rId5" Type="http://schemas.openxmlformats.org/officeDocument/2006/relationships/footnotes" Target="footnotes.xml"/><Relationship Id="rId15" Type="http://schemas.openxmlformats.org/officeDocument/2006/relationships/hyperlink" Target="https://hea.ie/2021/10/11/higher-education-key-facts-and-figures-2020-2021/" TargetMode="External"/><Relationship Id="rId10" Type="http://schemas.openxmlformats.org/officeDocument/2006/relationships/hyperlink" Target="https://www.cso.ie/en/csolatestnews/presspages/2017/census2016profile8-irishtravellersethnicityandrelig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yperlink" Target="file:///C:/Users/User/Downloads/79100_1b57b3ea-7a1a-4106-a9e7-82d8eea21df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2056</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2</cp:revision>
  <dcterms:created xsi:type="dcterms:W3CDTF">2022-04-14T15:16:00Z</dcterms:created>
  <dcterms:modified xsi:type="dcterms:W3CDTF">2022-04-14T15:16:00Z</dcterms:modified>
</cp:coreProperties>
</file>